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258D" w:rsidRDefault="00CC47DD" w:rsidP="0076193E">
      <w:pPr>
        <w:pStyle w:val="DefaultParagraphFont1"/>
        <w:ind w:right="268"/>
        <w:jc w:val="center"/>
        <w:rPr>
          <w:rFonts w:ascii="Times New Roman" w:hAnsi="Times New Roman" w:cs="Times New Roman"/>
          <w:bCs/>
          <w:sz w:val="44"/>
          <w:szCs w:val="44"/>
        </w:rPr>
      </w:pPr>
      <w:r w:rsidRPr="00B3151A">
        <w:rPr>
          <w:rFonts w:ascii="Times New Roman" w:hAnsi="Times New Roman" w:cs="Times New Roman"/>
          <w:bCs/>
          <w:sz w:val="44"/>
          <w:szCs w:val="44"/>
        </w:rPr>
        <w:t>SLA</w:t>
      </w:r>
      <w:r w:rsidR="009F4C14" w:rsidRPr="00B3151A">
        <w:rPr>
          <w:rFonts w:ascii="Times New Roman" w:hAnsi="Times New Roman" w:cs="Times New Roman"/>
          <w:bCs/>
          <w:sz w:val="44"/>
          <w:szCs w:val="44"/>
        </w:rPr>
        <w:t xml:space="preserve"> Aware Approach for Virtual </w:t>
      </w:r>
      <w:r w:rsidR="00666420">
        <w:rPr>
          <w:rFonts w:ascii="Times New Roman" w:hAnsi="Times New Roman" w:cs="Times New Roman"/>
          <w:bCs/>
          <w:sz w:val="44"/>
          <w:szCs w:val="44"/>
        </w:rPr>
        <w:t>Machine Placement in Cloud Datac</w:t>
      </w:r>
      <w:r w:rsidR="009F4C14" w:rsidRPr="00B3151A">
        <w:rPr>
          <w:rFonts w:ascii="Times New Roman" w:hAnsi="Times New Roman" w:cs="Times New Roman"/>
          <w:bCs/>
          <w:sz w:val="44"/>
          <w:szCs w:val="44"/>
        </w:rPr>
        <w:t>enter</w:t>
      </w:r>
    </w:p>
    <w:p w:rsidR="00CE694A" w:rsidRPr="00CE694A" w:rsidRDefault="00CE694A" w:rsidP="00CE694A">
      <w:pPr>
        <w:rPr>
          <w:lang w:val="en-US"/>
        </w:rPr>
      </w:pPr>
    </w:p>
    <w:p w:rsidR="00CE694A" w:rsidRPr="00B959F1" w:rsidRDefault="00CE694A" w:rsidP="00B959F1">
      <w:pPr>
        <w:ind w:right="268"/>
        <w:jc w:val="right"/>
        <w:rPr>
          <w:rFonts w:ascii="Times New Roman" w:hAnsi="Times New Roman" w:cs="Times New Roman"/>
          <w:b/>
        </w:rPr>
      </w:pPr>
    </w:p>
    <w:p w:rsidR="00B959F1" w:rsidRDefault="00B959F1" w:rsidP="00D76758">
      <w:pPr>
        <w:ind w:right="268"/>
        <w:jc w:val="center"/>
        <w:rPr>
          <w:rFonts w:ascii="Times New Roman" w:hAnsi="Times New Roman" w:cs="Times New Roman"/>
          <w:sz w:val="12"/>
          <w:szCs w:val="12"/>
        </w:rPr>
      </w:pPr>
    </w:p>
    <w:p w:rsidR="00EE72B4" w:rsidRPr="00B3151A" w:rsidRDefault="00EE72B4" w:rsidP="00D76758">
      <w:pPr>
        <w:ind w:right="268"/>
        <w:rPr>
          <w:rFonts w:ascii="Times New Roman" w:hAnsi="Times New Roman" w:cs="Times New Roman"/>
          <w:sz w:val="18"/>
          <w:szCs w:val="22"/>
          <w:lang w:val="en-US"/>
        </w:rPr>
        <w:sectPr w:rsidR="00EE72B4" w:rsidRPr="00B3151A" w:rsidSect="00EF4E02">
          <w:footnotePr>
            <w:numFmt w:val="chicago"/>
          </w:footnotePr>
          <w:pgSz w:w="12240" w:h="15840" w:code="1"/>
          <w:pgMar w:top="1080" w:right="900" w:bottom="1440" w:left="900" w:header="720" w:footer="720" w:gutter="0"/>
          <w:cols w:space="284"/>
        </w:sectPr>
      </w:pPr>
    </w:p>
    <w:p w:rsidR="00B3151A" w:rsidRPr="00AD0E7E" w:rsidRDefault="00B3151A" w:rsidP="00D76758">
      <w:pPr>
        <w:ind w:right="268"/>
        <w:jc w:val="both"/>
        <w:rPr>
          <w:rFonts w:ascii="Times New Roman" w:hAnsi="Times New Roman" w:cs="Times New Roman"/>
          <w:b/>
          <w:sz w:val="18"/>
          <w:szCs w:val="18"/>
        </w:rPr>
      </w:pPr>
      <w:r w:rsidRPr="00AD0E7E">
        <w:rPr>
          <w:rFonts w:ascii="Times New Roman" w:hAnsi="Times New Roman" w:cs="Times New Roman"/>
          <w:b/>
          <w:sz w:val="18"/>
          <w:szCs w:val="18"/>
        </w:rPr>
        <w:lastRenderedPageBreak/>
        <w:t>Abstract</w:t>
      </w:r>
    </w:p>
    <w:p w:rsidR="00D81A93" w:rsidRPr="00AD0E7E" w:rsidRDefault="00D81A93" w:rsidP="00D76758">
      <w:pPr>
        <w:ind w:right="268"/>
        <w:jc w:val="both"/>
        <w:rPr>
          <w:rFonts w:ascii="Times New Roman" w:hAnsi="Times New Roman" w:cs="Times New Roman"/>
          <w:sz w:val="18"/>
          <w:szCs w:val="18"/>
          <w:lang w:val="en-IN"/>
        </w:rPr>
      </w:pPr>
      <w:r w:rsidRPr="00AD0E7E">
        <w:rPr>
          <w:rFonts w:ascii="Times New Roman" w:hAnsi="Times New Roman" w:cs="Times New Roman"/>
          <w:sz w:val="18"/>
          <w:szCs w:val="18"/>
          <w:lang w:val="en-IN"/>
        </w:rPr>
        <w:t>The massive adoption of cloud computing by IT industry has caused the dramatic increase in energy consumption and its impact on the environment in terms of carbon footprints. The high cost of energy and link between energy consumption and carbon emission has raised an issue of energy management. Recently, a number of approaches have been proposed to address this issue. Most of these approaches are based upon the proper utilization of the resources. On the other side, to avoid SLA violations, the servers deployed in data centers can be utilized up to a maximum threshold value. To avoid SLA violation, some VMs will be migrated from over utilized hosts. Although there are many techniques to select such VMs that can be migrated, but no technique considers Service Level Agreement parameters while selecting such machines. In this paper, SLA based approach to select VMs to migrate from overloaded host has been purposed. The purposed approach will work on the basis of VM categories that are negotiated in service level agreement. The simulation results demonstrate that the proposed approach demands slightly more energy than the other efficient technique (Minimization of Migration). However, it reduces the cost paid in lieu of SLA violation as it reduces SLA violations belonging to VM categories for which SLA violation penalties are higher.</w:t>
      </w:r>
    </w:p>
    <w:p w:rsidR="00CD56E4" w:rsidRDefault="00D81A93" w:rsidP="002E0F0A">
      <w:pPr>
        <w:ind w:right="268"/>
        <w:jc w:val="both"/>
        <w:rPr>
          <w:rFonts w:ascii="Times New Roman" w:hAnsi="Times New Roman" w:cs="Times New Roman"/>
          <w:sz w:val="18"/>
          <w:szCs w:val="18"/>
          <w:lang w:val="en-US"/>
        </w:rPr>
      </w:pPr>
      <w:r w:rsidRPr="002B71E2">
        <w:rPr>
          <w:rFonts w:ascii="Times New Roman" w:hAnsi="Times New Roman" w:cs="Times New Roman"/>
          <w:b/>
          <w:sz w:val="18"/>
          <w:szCs w:val="18"/>
          <w:lang w:val="en-US"/>
        </w:rPr>
        <w:t>Keywords</w:t>
      </w:r>
      <w:r w:rsidR="00AD0E7E" w:rsidRPr="00AD0E7E">
        <w:rPr>
          <w:rFonts w:ascii="Times New Roman" w:hAnsi="Times New Roman" w:cs="Times New Roman"/>
          <w:sz w:val="18"/>
          <w:szCs w:val="18"/>
          <w:lang w:val="en-US"/>
        </w:rPr>
        <w:t xml:space="preserve">: </w:t>
      </w:r>
      <w:r w:rsidR="008B6871" w:rsidRPr="00AD0E7E">
        <w:rPr>
          <w:rFonts w:ascii="Times New Roman" w:hAnsi="Times New Roman" w:cs="Times New Roman"/>
          <w:sz w:val="18"/>
          <w:szCs w:val="18"/>
        </w:rPr>
        <w:t>Cloud Computing, Energy Consumption, Data Center, SLA</w:t>
      </w:r>
      <w:r w:rsidR="00A510F7">
        <w:rPr>
          <w:rFonts w:ascii="Times New Roman" w:hAnsi="Times New Roman" w:cs="Times New Roman"/>
          <w:sz w:val="18"/>
          <w:szCs w:val="18"/>
          <w:lang w:val="en-US"/>
        </w:rPr>
        <w:t>, Virtual Machine.</w:t>
      </w:r>
    </w:p>
    <w:p w:rsidR="00C6451D" w:rsidRPr="00AD0E7E" w:rsidRDefault="00C6451D" w:rsidP="002E0F0A">
      <w:pPr>
        <w:ind w:right="268"/>
        <w:jc w:val="both"/>
        <w:rPr>
          <w:rFonts w:ascii="Times New Roman" w:hAnsi="Times New Roman" w:cs="Times New Roman"/>
          <w:sz w:val="18"/>
          <w:szCs w:val="18"/>
          <w:lang w:val="en-US"/>
        </w:rPr>
      </w:pPr>
    </w:p>
    <w:p w:rsidR="002E0F0A" w:rsidRPr="00B3151A" w:rsidRDefault="002E0F0A" w:rsidP="002B71E2">
      <w:pPr>
        <w:pStyle w:val="ListParagraph"/>
        <w:numPr>
          <w:ilvl w:val="0"/>
          <w:numId w:val="26"/>
        </w:numPr>
        <w:spacing w:line="240" w:lineRule="auto"/>
        <w:ind w:left="540" w:right="268" w:hanging="540"/>
        <w:rPr>
          <w:b/>
          <w:color w:val="auto"/>
          <w:sz w:val="20"/>
          <w:szCs w:val="20"/>
          <w:lang w:val="en-US"/>
        </w:rPr>
      </w:pPr>
      <w:r w:rsidRPr="00B3151A">
        <w:rPr>
          <w:b/>
          <w:color w:val="auto"/>
          <w:sz w:val="20"/>
          <w:szCs w:val="20"/>
          <w:lang w:val="en-US"/>
        </w:rPr>
        <w:t>Introduction</w:t>
      </w:r>
    </w:p>
    <w:p w:rsidR="00D81A93" w:rsidRPr="00B3151A" w:rsidRDefault="00D81A93" w:rsidP="002B71E2">
      <w:pPr>
        <w:snapToGrid w:val="0"/>
        <w:ind w:right="268"/>
        <w:jc w:val="both"/>
        <w:rPr>
          <w:rFonts w:ascii="Times New Roman" w:hAnsi="Times New Roman" w:cs="Times New Roman"/>
          <w:lang w:val="en-IN"/>
        </w:rPr>
      </w:pPr>
      <w:r w:rsidRPr="00B3151A">
        <w:rPr>
          <w:rFonts w:ascii="Times New Roman" w:hAnsi="Times New Roman" w:cs="Times New Roman"/>
          <w:lang w:val="en-IN"/>
        </w:rPr>
        <w:t xml:space="preserve">With the advancements in internet technology, computing has now become the utility for every task in the real world. The vast growth of internet also demands huge data storage and computing power capabilities. Hence every IT company needs to set up a large data centre. </w:t>
      </w:r>
      <w:r w:rsidR="00A510F7">
        <w:rPr>
          <w:rFonts w:ascii="Times New Roman" w:hAnsi="Times New Roman" w:cs="Times New Roman"/>
          <w:lang w:val="en-IN"/>
        </w:rPr>
        <w:t>S</w:t>
      </w:r>
      <w:r w:rsidR="00A510F7" w:rsidRPr="00B3151A">
        <w:rPr>
          <w:rFonts w:ascii="Times New Roman" w:hAnsi="Times New Roman" w:cs="Times New Roman"/>
          <w:lang w:val="en-IN"/>
        </w:rPr>
        <w:t>et</w:t>
      </w:r>
      <w:r w:rsidR="00A510F7">
        <w:rPr>
          <w:rFonts w:ascii="Times New Roman" w:hAnsi="Times New Roman" w:cs="Times New Roman"/>
          <w:lang w:val="en-IN"/>
        </w:rPr>
        <w:t xml:space="preserve">ting </w:t>
      </w:r>
      <w:r w:rsidRPr="00B3151A">
        <w:rPr>
          <w:rFonts w:ascii="Times New Roman" w:hAnsi="Times New Roman" w:cs="Times New Roman"/>
          <w:lang w:val="en-IN"/>
        </w:rPr>
        <w:t>up and maintain</w:t>
      </w:r>
      <w:r w:rsidR="00A510F7">
        <w:rPr>
          <w:rFonts w:ascii="Times New Roman" w:hAnsi="Times New Roman" w:cs="Times New Roman"/>
          <w:lang w:val="en-IN"/>
        </w:rPr>
        <w:t>ing the</w:t>
      </w:r>
      <w:r w:rsidRPr="00B3151A">
        <w:rPr>
          <w:rFonts w:ascii="Times New Roman" w:hAnsi="Times New Roman" w:cs="Times New Roman"/>
          <w:lang w:val="en-IN"/>
        </w:rPr>
        <w:t xml:space="preserve"> data centre became head ache for every medium scale IT Company, not only due to the initial cost but also due to maintenance and operating cost. These companies have to pay large amount of money for electricity bills. The low utilization of resources in data centre lead to the invention of sharing based computing model. In 200</w:t>
      </w:r>
      <w:r w:rsidR="00264017">
        <w:rPr>
          <w:rFonts w:ascii="Times New Roman" w:hAnsi="Times New Roman" w:cs="Times New Roman"/>
          <w:lang w:val="en-IN"/>
        </w:rPr>
        <w:t>6</w:t>
      </w:r>
      <w:r w:rsidRPr="00B3151A">
        <w:rPr>
          <w:rFonts w:ascii="Times New Roman" w:hAnsi="Times New Roman" w:cs="Times New Roman"/>
          <w:lang w:val="en-IN"/>
        </w:rPr>
        <w:t xml:space="preserve">, the concept of cloud computing </w:t>
      </w:r>
      <w:r w:rsidR="00264017">
        <w:rPr>
          <w:rFonts w:ascii="Times New Roman" w:hAnsi="Times New Roman" w:cs="Times New Roman"/>
          <w:lang w:val="en-IN"/>
        </w:rPr>
        <w:t>(</w:t>
      </w:r>
      <w:r w:rsidR="00264017" w:rsidRPr="00264017">
        <w:rPr>
          <w:rFonts w:ascii="Times New Roman" w:hAnsi="Times New Roman" w:cs="Times New Roman"/>
          <w:lang w:val="en-IN"/>
        </w:rPr>
        <w:t>Bogatin,2006</w:t>
      </w:r>
      <w:r w:rsidR="00264017">
        <w:rPr>
          <w:rFonts w:ascii="Times New Roman" w:hAnsi="Times New Roman" w:cs="Times New Roman"/>
          <w:lang w:val="en-IN"/>
        </w:rPr>
        <w:t>)</w:t>
      </w:r>
      <w:r w:rsidRPr="00264017">
        <w:rPr>
          <w:rFonts w:ascii="Times New Roman" w:hAnsi="Times New Roman" w:cs="Times New Roman"/>
          <w:color w:val="FF0000"/>
          <w:lang w:val="en-IN"/>
        </w:rPr>
        <w:t xml:space="preserve"> </w:t>
      </w:r>
      <w:r w:rsidRPr="00B3151A">
        <w:rPr>
          <w:rFonts w:ascii="Times New Roman" w:hAnsi="Times New Roman" w:cs="Times New Roman"/>
          <w:lang w:val="en-IN"/>
        </w:rPr>
        <w:t xml:space="preserve">comes in to the picture as utility based model and in recent years it has captured a large share of IT market. </w:t>
      </w:r>
    </w:p>
    <w:p w:rsidR="00B959F1" w:rsidRDefault="00D81A93" w:rsidP="00D76758">
      <w:pPr>
        <w:snapToGrid w:val="0"/>
        <w:ind w:right="268"/>
        <w:jc w:val="both"/>
        <w:rPr>
          <w:rFonts w:ascii="Times New Roman" w:hAnsi="Times New Roman" w:cs="Times New Roman"/>
          <w:lang w:val="en-IN"/>
        </w:rPr>
      </w:pPr>
      <w:r w:rsidRPr="00B3151A">
        <w:rPr>
          <w:rFonts w:ascii="Times New Roman" w:hAnsi="Times New Roman" w:cs="Times New Roman"/>
          <w:lang w:val="en-IN"/>
        </w:rPr>
        <w:t xml:space="preserve">It defines the use of computing resources like hardware and software which are available in a remote location and accessible over Internet using pay per use model. By using cloud computing, the computing services have been shifted from the local computer to remote servers. This makes the enterprise to use the resources (network, server, storage, </w:t>
      </w:r>
    </w:p>
    <w:p w:rsidR="00D81A93" w:rsidRPr="00B3151A" w:rsidRDefault="00D81A93" w:rsidP="00D76758">
      <w:pPr>
        <w:snapToGrid w:val="0"/>
        <w:ind w:right="268"/>
        <w:jc w:val="both"/>
        <w:rPr>
          <w:rFonts w:ascii="Times New Roman" w:hAnsi="Times New Roman" w:cs="Times New Roman"/>
          <w:lang w:val="en-IN"/>
        </w:rPr>
      </w:pPr>
      <w:r w:rsidRPr="00B3151A">
        <w:rPr>
          <w:rFonts w:ascii="Times New Roman" w:hAnsi="Times New Roman" w:cs="Times New Roman"/>
          <w:lang w:val="en-IN"/>
        </w:rPr>
        <w:t>application, service etc.), without huge investment on its purchase, implementation, and maintenance. Cloud</w:t>
      </w:r>
      <w:r w:rsidR="00D42663">
        <w:rPr>
          <w:rFonts w:ascii="Times New Roman" w:hAnsi="Times New Roman" w:cs="Times New Roman"/>
          <w:lang w:val="en-IN"/>
        </w:rPr>
        <w:t xml:space="preserve"> </w:t>
      </w:r>
      <w:r w:rsidRPr="00B3151A">
        <w:rPr>
          <w:rFonts w:ascii="Times New Roman" w:hAnsi="Times New Roman" w:cs="Times New Roman"/>
          <w:lang w:val="en-IN"/>
        </w:rPr>
        <w:t xml:space="preserve">computing is not only cost efficient but also saves the environment by reducing the energy requirements.  Even the overall energy consumption has been reduced by </w:t>
      </w:r>
      <w:r w:rsidRPr="00B3151A">
        <w:rPr>
          <w:rFonts w:ascii="Times New Roman" w:hAnsi="Times New Roman" w:cs="Times New Roman"/>
          <w:lang w:val="en-IN"/>
        </w:rPr>
        <w:lastRenderedPageBreak/>
        <w:t xml:space="preserve">sharing of resources of cloud by different companies but still a huge amount of electrical energy has been consumed by data centers hosting cloud applications. </w:t>
      </w:r>
      <w:r w:rsidR="00494D38" w:rsidRPr="00B3151A">
        <w:rPr>
          <w:rFonts w:ascii="Times New Roman" w:hAnsi="Times New Roman" w:cs="Times New Roman"/>
          <w:lang w:val="en-IN"/>
        </w:rPr>
        <w:t xml:space="preserve">A study </w:t>
      </w:r>
      <w:r w:rsidR="00494D38">
        <w:rPr>
          <w:rFonts w:ascii="Times New Roman" w:hAnsi="Times New Roman" w:cs="Times New Roman"/>
          <w:lang w:val="en-IN"/>
        </w:rPr>
        <w:t>(</w:t>
      </w:r>
      <w:r w:rsidR="00494D38" w:rsidRPr="00632034">
        <w:rPr>
          <w:rFonts w:ascii="Times New Roman" w:hAnsi="Times New Roman" w:cs="Times New Roman"/>
          <w:iCs/>
          <w:lang w:val="en-US"/>
        </w:rPr>
        <w:t>Venkatraman A.</w:t>
      </w:r>
      <w:r w:rsidR="00494D38">
        <w:rPr>
          <w:rFonts w:ascii="Times New Roman" w:hAnsi="Times New Roman" w:cs="Times New Roman"/>
          <w:iCs/>
          <w:lang w:val="en-US"/>
        </w:rPr>
        <w:t>,</w:t>
      </w:r>
      <w:r w:rsidR="00494D38" w:rsidRPr="00632034">
        <w:rPr>
          <w:rFonts w:ascii="Times New Roman" w:hAnsi="Times New Roman" w:cs="Times New Roman"/>
          <w:iCs/>
          <w:lang w:val="en-US"/>
        </w:rPr>
        <w:t xml:space="preserve"> 2012)</w:t>
      </w:r>
      <w:r w:rsidR="00494D38" w:rsidRPr="00B3151A">
        <w:rPr>
          <w:rFonts w:ascii="Times New Roman" w:hAnsi="Times New Roman" w:cs="Times New Roman"/>
          <w:lang w:val="en-IN"/>
        </w:rPr>
        <w:t xml:space="preserve"> found that, on average, 63% of </w:t>
      </w:r>
      <w:r w:rsidR="00494D38">
        <w:rPr>
          <w:rFonts w:ascii="Times New Roman" w:hAnsi="Times New Roman" w:cs="Times New Roman"/>
          <w:lang w:val="en-IN"/>
        </w:rPr>
        <w:t>growth in data centre energy demands</w:t>
      </w:r>
      <w:r w:rsidR="00494D38" w:rsidRPr="00B3151A">
        <w:rPr>
          <w:rFonts w:ascii="Times New Roman" w:hAnsi="Times New Roman" w:cs="Times New Roman"/>
          <w:lang w:val="en-IN"/>
        </w:rPr>
        <w:t xml:space="preserve">. </w:t>
      </w:r>
      <w:r w:rsidRPr="00B3151A">
        <w:rPr>
          <w:rFonts w:ascii="Times New Roman" w:hAnsi="Times New Roman" w:cs="Times New Roman"/>
          <w:lang w:val="en-IN"/>
        </w:rPr>
        <w:t xml:space="preserve">The increasing </w:t>
      </w:r>
      <w:r w:rsidR="00494D38">
        <w:rPr>
          <w:rFonts w:ascii="Times New Roman" w:hAnsi="Times New Roman" w:cs="Times New Roman"/>
          <w:lang w:val="en-IN"/>
        </w:rPr>
        <w:t xml:space="preserve">demand and </w:t>
      </w:r>
      <w:r w:rsidRPr="00B3151A">
        <w:rPr>
          <w:rFonts w:ascii="Times New Roman" w:hAnsi="Times New Roman" w:cs="Times New Roman"/>
          <w:lang w:val="en-IN"/>
        </w:rPr>
        <w:t xml:space="preserve">cost of energy is a </w:t>
      </w:r>
      <w:r w:rsidR="00494D38">
        <w:rPr>
          <w:rFonts w:ascii="Times New Roman" w:hAnsi="Times New Roman" w:cs="Times New Roman"/>
          <w:lang w:val="en-IN"/>
        </w:rPr>
        <w:t>big</w:t>
      </w:r>
      <w:r w:rsidRPr="00B3151A">
        <w:rPr>
          <w:rFonts w:ascii="Times New Roman" w:hAnsi="Times New Roman" w:cs="Times New Roman"/>
          <w:lang w:val="en-IN"/>
        </w:rPr>
        <w:t xml:space="preserve"> difficulty for cloud vendors because it increases total cost of ownership and decreases return on investment. A very small portion of total electrical consumption has been ut</w:t>
      </w:r>
      <w:r w:rsidR="00A7715B">
        <w:rPr>
          <w:rFonts w:ascii="Times New Roman" w:hAnsi="Times New Roman" w:cs="Times New Roman"/>
          <w:lang w:val="en-IN"/>
        </w:rPr>
        <w:t>ilized in the cloud data center</w:t>
      </w:r>
      <w:r w:rsidRPr="00B3151A">
        <w:rPr>
          <w:rFonts w:ascii="Times New Roman" w:hAnsi="Times New Roman" w:cs="Times New Roman"/>
          <w:lang w:val="en-IN"/>
        </w:rPr>
        <w:t xml:space="preserve">. The reason behind this energy wastage is to provide some spare computing facilities to reduce the SLA violation in dynamic computing service. A lot of work has been done to make the cloud data centre more energy efficient and to reduce the SLA violations. But still datacenters consume a large amount of energy, </w:t>
      </w:r>
      <w:r w:rsidR="00A7715B">
        <w:rPr>
          <w:rFonts w:ascii="Times New Roman" w:hAnsi="Times New Roman" w:cs="Times New Roman"/>
          <w:lang w:val="en-IN"/>
        </w:rPr>
        <w:t xml:space="preserve">so </w:t>
      </w:r>
      <w:r w:rsidRPr="00B3151A">
        <w:rPr>
          <w:rFonts w:ascii="Times New Roman" w:hAnsi="Times New Roman" w:cs="Times New Roman"/>
          <w:lang w:val="en-IN"/>
        </w:rPr>
        <w:t>there is need to improve the components of cloud computing to make it energy efficient and SLA responsive.</w:t>
      </w:r>
    </w:p>
    <w:p w:rsidR="006E68F4" w:rsidRPr="00B3151A" w:rsidRDefault="006E68F4" w:rsidP="00D76758">
      <w:pPr>
        <w:snapToGrid w:val="0"/>
        <w:ind w:right="268"/>
        <w:jc w:val="both"/>
        <w:rPr>
          <w:rFonts w:ascii="Times New Roman" w:hAnsi="Times New Roman" w:cs="Times New Roman"/>
          <w:sz w:val="16"/>
          <w:szCs w:val="16"/>
          <w:lang w:val="en-US"/>
        </w:rPr>
      </w:pPr>
    </w:p>
    <w:p w:rsidR="00D81A93" w:rsidRPr="00B3151A" w:rsidRDefault="00CC47DD" w:rsidP="002B71E2">
      <w:pPr>
        <w:pStyle w:val="ListParagraph"/>
        <w:numPr>
          <w:ilvl w:val="0"/>
          <w:numId w:val="26"/>
        </w:numPr>
        <w:snapToGrid w:val="0"/>
        <w:spacing w:line="240" w:lineRule="auto"/>
        <w:ind w:left="540" w:right="268" w:hanging="540"/>
        <w:rPr>
          <w:b/>
          <w:color w:val="auto"/>
          <w:sz w:val="20"/>
          <w:szCs w:val="20"/>
          <w:lang w:val="en-US"/>
        </w:rPr>
      </w:pPr>
      <w:r w:rsidRPr="00B3151A">
        <w:rPr>
          <w:b/>
          <w:color w:val="auto"/>
          <w:sz w:val="20"/>
          <w:szCs w:val="20"/>
          <w:lang w:val="en-US"/>
        </w:rPr>
        <w:t>Related Work</w:t>
      </w:r>
    </w:p>
    <w:p w:rsidR="00D81A93" w:rsidRPr="00B3151A" w:rsidRDefault="00D81A93" w:rsidP="002B71E2">
      <w:pPr>
        <w:snapToGrid w:val="0"/>
        <w:ind w:right="268"/>
        <w:jc w:val="both"/>
        <w:rPr>
          <w:rFonts w:ascii="Times New Roman" w:hAnsi="Times New Roman" w:cs="Times New Roman"/>
          <w:lang w:val="en-IN"/>
        </w:rPr>
      </w:pPr>
      <w:r w:rsidRPr="00B3151A">
        <w:rPr>
          <w:rFonts w:ascii="Times New Roman" w:hAnsi="Times New Roman" w:cs="Times New Roman"/>
          <w:lang w:val="en-IN"/>
        </w:rPr>
        <w:t>To make cloud datacenter energy efficie</w:t>
      </w:r>
      <w:r w:rsidR="00A7715B">
        <w:rPr>
          <w:rFonts w:ascii="Times New Roman" w:hAnsi="Times New Roman" w:cs="Times New Roman"/>
          <w:lang w:val="en-IN"/>
        </w:rPr>
        <w:t>nt, many techniques</w:t>
      </w:r>
      <w:r w:rsidRPr="00B3151A">
        <w:rPr>
          <w:rFonts w:ascii="Times New Roman" w:hAnsi="Times New Roman" w:cs="Times New Roman"/>
          <w:lang w:val="en-IN"/>
        </w:rPr>
        <w:t xml:space="preserve"> have been proposed. These techniques can be broadly classified as:</w:t>
      </w:r>
    </w:p>
    <w:p w:rsidR="00012FD7" w:rsidRPr="00B3151A" w:rsidRDefault="00012FD7" w:rsidP="00012FD7">
      <w:pPr>
        <w:tabs>
          <w:tab w:val="num" w:pos="360"/>
        </w:tabs>
        <w:snapToGrid w:val="0"/>
        <w:ind w:right="268"/>
        <w:jc w:val="both"/>
        <w:rPr>
          <w:rFonts w:ascii="Times New Roman" w:hAnsi="Times New Roman" w:cs="Times New Roman"/>
          <w:lang w:val="en-IN"/>
        </w:rPr>
      </w:pPr>
    </w:p>
    <w:p w:rsidR="00D81A93" w:rsidRPr="00B3151A" w:rsidRDefault="00012FD7" w:rsidP="00012FD7">
      <w:pPr>
        <w:tabs>
          <w:tab w:val="num" w:pos="360"/>
        </w:tabs>
        <w:snapToGrid w:val="0"/>
        <w:ind w:right="268"/>
        <w:jc w:val="both"/>
        <w:rPr>
          <w:rFonts w:ascii="Times New Roman" w:hAnsi="Times New Roman" w:cs="Times New Roman"/>
          <w:b/>
          <w:iCs/>
          <w:lang w:val="en-US"/>
        </w:rPr>
      </w:pPr>
      <w:r w:rsidRPr="00B3151A">
        <w:rPr>
          <w:rFonts w:ascii="Times New Roman" w:hAnsi="Times New Roman" w:cs="Times New Roman"/>
          <w:b/>
          <w:lang w:val="en-IN"/>
        </w:rPr>
        <w:t>2.1</w:t>
      </w:r>
      <w:r w:rsidRPr="00B3151A">
        <w:rPr>
          <w:rFonts w:ascii="Times New Roman" w:hAnsi="Times New Roman" w:cs="Times New Roman"/>
          <w:lang w:val="en-IN"/>
        </w:rPr>
        <w:t xml:space="preserve">  </w:t>
      </w:r>
      <w:r w:rsidR="00D81A93" w:rsidRPr="00B3151A">
        <w:rPr>
          <w:rFonts w:ascii="Times New Roman" w:hAnsi="Times New Roman" w:cs="Times New Roman"/>
          <w:b/>
          <w:iCs/>
          <w:lang w:val="en-US"/>
        </w:rPr>
        <w:t>Dynamic Voltage and Frequency Scaling Based</w:t>
      </w:r>
    </w:p>
    <w:p w:rsidR="004F3CB9" w:rsidRDefault="004F3CB9" w:rsidP="004F3CB9">
      <w:pPr>
        <w:snapToGrid w:val="0"/>
        <w:ind w:right="268" w:firstLine="346"/>
        <w:jc w:val="both"/>
        <w:rPr>
          <w:rFonts w:ascii="Times New Roman" w:hAnsi="Times New Roman" w:cs="Times New Roman"/>
          <w:lang w:val="en-IN"/>
        </w:rPr>
      </w:pPr>
      <w:r w:rsidRPr="00B3151A">
        <w:rPr>
          <w:rFonts w:ascii="Times New Roman" w:hAnsi="Times New Roman" w:cs="Times New Roman"/>
          <w:lang w:val="en-IN"/>
        </w:rPr>
        <w:t xml:space="preserve">Dynamic voltage and frequency scaling (DVFS) is a commonly used power-management technique where the clock frequency of a processor </w:t>
      </w:r>
      <w:r>
        <w:rPr>
          <w:rFonts w:ascii="Times New Roman" w:hAnsi="Times New Roman" w:cs="Times New Roman"/>
          <w:lang w:val="en-IN"/>
        </w:rPr>
        <w:t>will</w:t>
      </w:r>
      <w:r w:rsidRPr="00B3151A">
        <w:rPr>
          <w:rFonts w:ascii="Times New Roman" w:hAnsi="Times New Roman" w:cs="Times New Roman"/>
          <w:lang w:val="en-IN"/>
        </w:rPr>
        <w:t xml:space="preserve"> decrease during low system utilization to reduce power consumption </w:t>
      </w:r>
      <w:r>
        <w:rPr>
          <w:rFonts w:ascii="Times New Roman" w:hAnsi="Times New Roman" w:cs="Times New Roman"/>
          <w:lang w:val="en-IN"/>
        </w:rPr>
        <w:t>(</w:t>
      </w:r>
      <w:r w:rsidRPr="00264017">
        <w:rPr>
          <w:rFonts w:ascii="Times New Roman" w:hAnsi="Times New Roman" w:cs="Times New Roman"/>
          <w:lang w:val="en-IN"/>
        </w:rPr>
        <w:t xml:space="preserve">Dharwar, Bhat, Srinivasan, </w:t>
      </w:r>
      <w:r>
        <w:rPr>
          <w:rFonts w:ascii="Times New Roman" w:hAnsi="Times New Roman" w:cs="Times New Roman"/>
          <w:lang w:val="en-IN"/>
        </w:rPr>
        <w:t xml:space="preserve">Sarma &amp; </w:t>
      </w:r>
      <w:r w:rsidRPr="00264017">
        <w:rPr>
          <w:rFonts w:ascii="Times New Roman" w:hAnsi="Times New Roman" w:cs="Times New Roman"/>
          <w:lang w:val="en-IN"/>
        </w:rPr>
        <w:t>Banerjee 2012</w:t>
      </w:r>
      <w:r>
        <w:rPr>
          <w:rFonts w:ascii="Times New Roman" w:hAnsi="Times New Roman" w:cs="Times New Roman"/>
          <w:lang w:val="en-IN"/>
        </w:rPr>
        <w:t>)</w:t>
      </w:r>
      <w:r w:rsidRPr="00B3151A">
        <w:rPr>
          <w:rFonts w:ascii="Times New Roman" w:hAnsi="Times New Roman" w:cs="Times New Roman"/>
          <w:lang w:val="en-IN"/>
        </w:rPr>
        <w:t>.</w:t>
      </w:r>
    </w:p>
    <w:p w:rsidR="004F3CB9" w:rsidRPr="00B3151A" w:rsidRDefault="004F3CB9" w:rsidP="004F3CB9">
      <w:pPr>
        <w:snapToGrid w:val="0"/>
        <w:ind w:right="268" w:firstLine="346"/>
        <w:jc w:val="both"/>
        <w:rPr>
          <w:rFonts w:ascii="Times New Roman" w:hAnsi="Times New Roman" w:cs="Times New Roman"/>
          <w:lang w:val="en-IN"/>
        </w:rPr>
      </w:pPr>
      <w:r>
        <w:rPr>
          <w:rFonts w:ascii="Times New Roman" w:hAnsi="Times New Roman" w:cs="Times New Roman"/>
          <w:lang w:val="en-IN"/>
        </w:rPr>
        <w:t xml:space="preserve">Von </w:t>
      </w:r>
      <w:r w:rsidRPr="00B3151A">
        <w:rPr>
          <w:rFonts w:ascii="Times New Roman" w:hAnsi="Times New Roman" w:cs="Times New Roman"/>
          <w:lang w:val="en-IN"/>
        </w:rPr>
        <w:t>Laszewski et al.</w:t>
      </w:r>
      <w:r>
        <w:rPr>
          <w:rFonts w:ascii="Times New Roman" w:hAnsi="Times New Roman" w:cs="Times New Roman"/>
          <w:lang w:val="en-IN"/>
        </w:rPr>
        <w:t xml:space="preserve"> (</w:t>
      </w:r>
      <w:r w:rsidRPr="00B42414">
        <w:rPr>
          <w:rFonts w:ascii="Times New Roman" w:hAnsi="Times New Roman" w:cs="Times New Roman"/>
          <w:lang w:val="en-IN"/>
        </w:rPr>
        <w:t>2009</w:t>
      </w:r>
      <w:r>
        <w:rPr>
          <w:rFonts w:ascii="Times New Roman" w:hAnsi="Times New Roman" w:cs="Times New Roman"/>
          <w:lang w:val="en-IN"/>
        </w:rPr>
        <w:t>)</w:t>
      </w:r>
      <w:r w:rsidRPr="00B3151A">
        <w:rPr>
          <w:rFonts w:ascii="Times New Roman" w:hAnsi="Times New Roman" w:cs="Times New Roman"/>
          <w:lang w:val="en-IN"/>
        </w:rPr>
        <w:t xml:space="preserve">. have proposed a scheduling algorithm for DFVS enabled clusters for executing multiple virtual machines. This scheduling algorithm is successful to reduce the power consumption of a DVFS-enabled cluster. In contrast with a fully utilized cluster using the highest voltages, this technique suggests to use processors with lower voltages with DVFS- enabled clustering. </w:t>
      </w:r>
    </w:p>
    <w:p w:rsidR="004F3CB9" w:rsidRDefault="004F3CB9" w:rsidP="004F3CB9">
      <w:pPr>
        <w:snapToGrid w:val="0"/>
        <w:ind w:right="268" w:firstLine="346"/>
        <w:jc w:val="both"/>
        <w:rPr>
          <w:rFonts w:ascii="Times New Roman" w:hAnsi="Times New Roman" w:cs="Times New Roman"/>
          <w:lang w:val="en-IN"/>
        </w:rPr>
      </w:pPr>
      <w:r>
        <w:rPr>
          <w:rFonts w:ascii="Times New Roman" w:hAnsi="Times New Roman" w:cs="Times New Roman"/>
          <w:lang w:val="en-IN"/>
        </w:rPr>
        <w:t>R</w:t>
      </w:r>
      <w:r w:rsidRPr="00B3151A">
        <w:rPr>
          <w:rFonts w:ascii="Times New Roman" w:hAnsi="Times New Roman" w:cs="Times New Roman"/>
          <w:lang w:val="en-IN"/>
        </w:rPr>
        <w:t xml:space="preserve">izvandi et al </w:t>
      </w:r>
      <w:r>
        <w:rPr>
          <w:rFonts w:ascii="Times New Roman" w:hAnsi="Times New Roman" w:cs="Times New Roman"/>
          <w:lang w:val="en-IN"/>
        </w:rPr>
        <w:t>(2011)</w:t>
      </w:r>
      <w:r w:rsidRPr="00B3151A">
        <w:rPr>
          <w:rFonts w:ascii="Times New Roman" w:hAnsi="Times New Roman" w:cs="Times New Roman"/>
          <w:lang w:val="en-IN"/>
        </w:rPr>
        <w:t xml:space="preserve"> have considered energy issue with task scheduling in clusters and presented the MVFS-DVFS algorithm. They consider</w:t>
      </w:r>
      <w:r w:rsidRPr="00B3151A">
        <w:rPr>
          <w:rFonts w:ascii="Times New Roman" w:hAnsi="Times New Roman" w:cs="Times New Roman"/>
          <w:b/>
          <w:lang w:val="en-IN"/>
        </w:rPr>
        <w:t xml:space="preserve"> </w:t>
      </w:r>
      <w:r w:rsidRPr="00B3151A">
        <w:rPr>
          <w:rFonts w:ascii="Times New Roman" w:hAnsi="Times New Roman" w:cs="Times New Roman"/>
          <w:lang w:val="en-IN"/>
        </w:rPr>
        <w:t>more than one voltage–frequency to reduce energy consumption on processors. Provided results advocate that the optimal energy in a discrete set of voltage–frequencies for each task is achieved by a combination of two voltage–frequencies. The MVFS-DVFS consumes the least amount of energy among other DVFS based alternatives. Only DVFS enabled processors have been considered by this technique.</w:t>
      </w:r>
    </w:p>
    <w:p w:rsidR="00D81A93" w:rsidRPr="00B3151A" w:rsidRDefault="00B42414" w:rsidP="004F3CB9">
      <w:pPr>
        <w:snapToGrid w:val="0"/>
        <w:ind w:right="268" w:firstLine="346"/>
        <w:jc w:val="both"/>
        <w:rPr>
          <w:rFonts w:ascii="Times New Roman" w:hAnsi="Times New Roman" w:cs="Times New Roman"/>
          <w:lang w:val="en-IN"/>
        </w:rPr>
      </w:pPr>
      <w:r>
        <w:rPr>
          <w:rFonts w:ascii="Times New Roman" w:hAnsi="Times New Roman" w:cs="Times New Roman"/>
          <w:lang w:val="en-IN"/>
        </w:rPr>
        <w:t>DVFS technique has been used in l</w:t>
      </w:r>
      <w:r w:rsidR="00D81A93" w:rsidRPr="00B3151A">
        <w:rPr>
          <w:rFonts w:ascii="Times New Roman" w:hAnsi="Times New Roman" w:cs="Times New Roman"/>
          <w:lang w:val="en-IN"/>
        </w:rPr>
        <w:t>arge scale computing communities, for example, cluster or grid computing and superc</w:t>
      </w:r>
      <w:r>
        <w:rPr>
          <w:rFonts w:ascii="Times New Roman" w:hAnsi="Times New Roman" w:cs="Times New Roman"/>
          <w:lang w:val="en-IN"/>
        </w:rPr>
        <w:t xml:space="preserve">omputing, </w:t>
      </w:r>
      <w:r w:rsidR="00D81A93" w:rsidRPr="00B3151A">
        <w:rPr>
          <w:rFonts w:ascii="Times New Roman" w:hAnsi="Times New Roman" w:cs="Times New Roman"/>
          <w:lang w:val="en-IN"/>
        </w:rPr>
        <w:t xml:space="preserve">to minimize power consumption and </w:t>
      </w:r>
      <w:r w:rsidR="00DD57F8">
        <w:rPr>
          <w:rFonts w:ascii="Times New Roman" w:hAnsi="Times New Roman" w:cs="Times New Roman"/>
          <w:lang w:val="en-IN"/>
        </w:rPr>
        <w:t>achieve high performance levels.</w:t>
      </w:r>
    </w:p>
    <w:p w:rsidR="009B04A7" w:rsidRDefault="00D81A93" w:rsidP="00D76758">
      <w:pPr>
        <w:snapToGrid w:val="0"/>
        <w:ind w:right="268"/>
        <w:jc w:val="both"/>
        <w:rPr>
          <w:rFonts w:ascii="Times New Roman" w:hAnsi="Times New Roman" w:cs="Times New Roman"/>
          <w:lang w:val="en-IN"/>
        </w:rPr>
      </w:pPr>
      <w:r w:rsidRPr="00B3151A">
        <w:rPr>
          <w:rFonts w:ascii="Times New Roman" w:hAnsi="Times New Roman" w:cs="Times New Roman"/>
          <w:lang w:val="en-IN"/>
        </w:rPr>
        <w:lastRenderedPageBreak/>
        <w:t xml:space="preserve">Recently, Wu et al. </w:t>
      </w:r>
      <w:r w:rsidR="00DD57F8">
        <w:rPr>
          <w:rFonts w:ascii="Times New Roman" w:hAnsi="Times New Roman" w:cs="Times New Roman"/>
          <w:lang w:val="en-IN"/>
        </w:rPr>
        <w:t>(2014)</w:t>
      </w:r>
      <w:r w:rsidRPr="00B3151A">
        <w:rPr>
          <w:rFonts w:ascii="Times New Roman" w:hAnsi="Times New Roman" w:cs="Times New Roman"/>
          <w:lang w:val="en-IN"/>
        </w:rPr>
        <w:t xml:space="preserve"> introduced a scheduling algorithm which works based on the use of priority job scheduling for Cloud computing. To control the supply voltage and frequency for servers they use DVFS controller. DVFS controller minimizes the power consumption by giving applicable amount of frequencies for each server by adjusting to the preferred gear. They also have presented frequency–voltage pairs with corresponding gears. The DVFS controller sets the appropriate gear to supply the proper frequency and voltage to each server. This technique can reduce the energy consumption of a server only when it is in the idle mode or in light workload.</w:t>
      </w:r>
      <w:r w:rsidR="004F3CB9">
        <w:rPr>
          <w:rFonts w:ascii="Times New Roman" w:hAnsi="Times New Roman" w:cs="Times New Roman"/>
          <w:lang w:val="en-IN"/>
        </w:rPr>
        <w:t xml:space="preserve"> </w:t>
      </w:r>
      <w:r w:rsidRPr="00B3151A">
        <w:rPr>
          <w:rFonts w:ascii="Times New Roman" w:hAnsi="Times New Roman" w:cs="Times New Roman"/>
          <w:lang w:val="en-IN"/>
        </w:rPr>
        <w:t xml:space="preserve">Even though the </w:t>
      </w:r>
      <w:r w:rsidR="009B04A7">
        <w:rPr>
          <w:rFonts w:ascii="Times New Roman" w:hAnsi="Times New Roman" w:cs="Times New Roman"/>
          <w:lang w:val="en-IN"/>
        </w:rPr>
        <w:t>use</w:t>
      </w:r>
      <w:r w:rsidRPr="00B3151A">
        <w:rPr>
          <w:rFonts w:ascii="Times New Roman" w:hAnsi="Times New Roman" w:cs="Times New Roman"/>
          <w:lang w:val="en-IN"/>
        </w:rPr>
        <w:t xml:space="preserve"> of DVFS may </w:t>
      </w:r>
      <w:r w:rsidR="009B04A7">
        <w:rPr>
          <w:rFonts w:ascii="Times New Roman" w:hAnsi="Times New Roman" w:cs="Times New Roman"/>
          <w:lang w:val="en-IN"/>
        </w:rPr>
        <w:t>reduce the energy requirements but still many issues (like performance degradation and predicting future load etc.) associated with this technique remains unresolved and need attention</w:t>
      </w:r>
      <w:r w:rsidRPr="00B3151A">
        <w:rPr>
          <w:rFonts w:ascii="Times New Roman" w:hAnsi="Times New Roman" w:cs="Times New Roman"/>
          <w:lang w:val="en-IN"/>
        </w:rPr>
        <w:t>.</w:t>
      </w:r>
    </w:p>
    <w:p w:rsidR="00D81A93" w:rsidRPr="00B3151A" w:rsidRDefault="00D81A93" w:rsidP="00D76758">
      <w:pPr>
        <w:snapToGrid w:val="0"/>
        <w:ind w:right="268"/>
        <w:jc w:val="both"/>
        <w:rPr>
          <w:rFonts w:ascii="Times New Roman" w:hAnsi="Times New Roman" w:cs="Times New Roman"/>
          <w:lang w:val="en-IN"/>
        </w:rPr>
      </w:pPr>
    </w:p>
    <w:p w:rsidR="002E0F0A" w:rsidRPr="00B3151A" w:rsidRDefault="00D81A93" w:rsidP="002B71E2">
      <w:pPr>
        <w:pStyle w:val="ListParagraph"/>
        <w:numPr>
          <w:ilvl w:val="1"/>
          <w:numId w:val="26"/>
        </w:numPr>
        <w:tabs>
          <w:tab w:val="num" w:pos="360"/>
        </w:tabs>
        <w:snapToGrid w:val="0"/>
        <w:spacing w:line="240" w:lineRule="auto"/>
        <w:ind w:left="540" w:right="268" w:hanging="540"/>
        <w:rPr>
          <w:b/>
          <w:iCs/>
          <w:color w:val="auto"/>
          <w:sz w:val="20"/>
          <w:szCs w:val="20"/>
          <w:lang w:val="en-US"/>
        </w:rPr>
      </w:pPr>
      <w:r w:rsidRPr="00B3151A">
        <w:rPr>
          <w:b/>
          <w:iCs/>
          <w:color w:val="auto"/>
          <w:sz w:val="20"/>
          <w:szCs w:val="20"/>
          <w:lang w:val="en-US"/>
        </w:rPr>
        <w:t>Server Consolidation Based</w:t>
      </w:r>
    </w:p>
    <w:p w:rsidR="00D81A93" w:rsidRPr="00B3151A" w:rsidRDefault="00EA1DA6" w:rsidP="002B71E2">
      <w:pPr>
        <w:snapToGrid w:val="0"/>
        <w:ind w:right="268"/>
        <w:jc w:val="both"/>
        <w:rPr>
          <w:rFonts w:ascii="Times New Roman" w:hAnsi="Times New Roman" w:cs="Times New Roman"/>
          <w:lang w:val="en-IN"/>
        </w:rPr>
      </w:pPr>
      <w:r>
        <w:rPr>
          <w:rFonts w:ascii="Times New Roman" w:hAnsi="Times New Roman" w:cs="Times New Roman"/>
          <w:lang w:val="en-IN"/>
        </w:rPr>
        <w:t xml:space="preserve">Server consolidation is </w:t>
      </w:r>
      <w:r w:rsidR="00D81A93" w:rsidRPr="00B3151A">
        <w:rPr>
          <w:rFonts w:ascii="Times New Roman" w:hAnsi="Times New Roman" w:cs="Times New Roman"/>
          <w:lang w:val="en-IN"/>
        </w:rPr>
        <w:t xml:space="preserve">process of </w:t>
      </w:r>
      <w:r>
        <w:rPr>
          <w:rFonts w:ascii="Times New Roman" w:hAnsi="Times New Roman" w:cs="Times New Roman"/>
          <w:lang w:val="en-IN"/>
        </w:rPr>
        <w:t xml:space="preserve">combining </w:t>
      </w:r>
      <w:r w:rsidR="00D81A93" w:rsidRPr="00B3151A">
        <w:rPr>
          <w:rFonts w:ascii="Times New Roman" w:hAnsi="Times New Roman" w:cs="Times New Roman"/>
          <w:lang w:val="en-IN"/>
        </w:rPr>
        <w:t xml:space="preserve">services running on </w:t>
      </w:r>
      <w:r>
        <w:rPr>
          <w:rFonts w:ascii="Times New Roman" w:hAnsi="Times New Roman" w:cs="Times New Roman"/>
          <w:lang w:val="en-IN"/>
        </w:rPr>
        <w:t>different</w:t>
      </w:r>
      <w:r w:rsidR="00D81A93" w:rsidRPr="00B3151A">
        <w:rPr>
          <w:rFonts w:ascii="Times New Roman" w:hAnsi="Times New Roman" w:cs="Times New Roman"/>
          <w:lang w:val="en-IN"/>
        </w:rPr>
        <w:t xml:space="preserve"> servers into a </w:t>
      </w:r>
      <w:r>
        <w:rPr>
          <w:rFonts w:ascii="Times New Roman" w:hAnsi="Times New Roman" w:cs="Times New Roman"/>
          <w:lang w:val="en-IN"/>
        </w:rPr>
        <w:t>lesser</w:t>
      </w:r>
      <w:r w:rsidR="00D81A93" w:rsidRPr="00B3151A">
        <w:rPr>
          <w:rFonts w:ascii="Times New Roman" w:hAnsi="Times New Roman" w:cs="Times New Roman"/>
          <w:lang w:val="en-IN"/>
        </w:rPr>
        <w:t xml:space="preserve"> number of powerful </w:t>
      </w:r>
      <w:r>
        <w:rPr>
          <w:rFonts w:ascii="Times New Roman" w:hAnsi="Times New Roman" w:cs="Times New Roman"/>
          <w:lang w:val="en-IN"/>
        </w:rPr>
        <w:t>server machines</w:t>
      </w:r>
      <w:r w:rsidR="00D81A93" w:rsidRPr="00B3151A">
        <w:rPr>
          <w:rFonts w:ascii="Times New Roman" w:hAnsi="Times New Roman" w:cs="Times New Roman"/>
          <w:lang w:val="en-IN"/>
        </w:rPr>
        <w:t xml:space="preserve">. Many organizations are moving towards server consolidation to reduce infrastructure complexity, improve system availability and save money. In case of change in user’s demand, VMs can be resized and migrated to other physical servers if necessary </w:t>
      </w:r>
      <w:r w:rsidR="00572D3C">
        <w:rPr>
          <w:rFonts w:ascii="Times New Roman" w:hAnsi="Times New Roman" w:cs="Times New Roman"/>
          <w:lang w:val="en-IN"/>
        </w:rPr>
        <w:t>(</w:t>
      </w:r>
      <w:r w:rsidR="00572D3C" w:rsidRPr="00572D3C">
        <w:rPr>
          <w:rFonts w:ascii="Times New Roman" w:hAnsi="Times New Roman" w:cs="Times New Roman"/>
          <w:lang w:val="en-IN"/>
        </w:rPr>
        <w:t>Ferreto et. al., 2011</w:t>
      </w:r>
      <w:r w:rsidR="00572D3C">
        <w:rPr>
          <w:rFonts w:ascii="Times New Roman" w:hAnsi="Times New Roman" w:cs="Times New Roman"/>
          <w:lang w:val="en-IN"/>
        </w:rPr>
        <w:t>)</w:t>
      </w:r>
      <w:r w:rsidR="00D81A93" w:rsidRPr="00B3151A">
        <w:rPr>
          <w:rFonts w:ascii="Times New Roman" w:hAnsi="Times New Roman" w:cs="Times New Roman"/>
          <w:lang w:val="en-IN"/>
        </w:rPr>
        <w:t xml:space="preserve">. </w:t>
      </w:r>
      <w:r w:rsidR="00572D3C">
        <w:rPr>
          <w:rFonts w:ascii="Times New Roman" w:hAnsi="Times New Roman" w:cs="Times New Roman"/>
          <w:lang w:val="en-IN"/>
        </w:rPr>
        <w:t>In this work they</w:t>
      </w:r>
      <w:r w:rsidR="00D81A93" w:rsidRPr="00B3151A">
        <w:rPr>
          <w:rFonts w:ascii="Times New Roman" w:hAnsi="Times New Roman" w:cs="Times New Roman"/>
          <w:lang w:val="en-IN"/>
        </w:rPr>
        <w:t xml:space="preserve"> use</w:t>
      </w:r>
      <w:r w:rsidR="00572D3C">
        <w:rPr>
          <w:rFonts w:ascii="Times New Roman" w:hAnsi="Times New Roman" w:cs="Times New Roman"/>
          <w:lang w:val="en-IN"/>
        </w:rPr>
        <w:t>d</w:t>
      </w:r>
      <w:r w:rsidR="00D81A93" w:rsidRPr="00B3151A">
        <w:rPr>
          <w:rFonts w:ascii="Times New Roman" w:hAnsi="Times New Roman" w:cs="Times New Roman"/>
          <w:lang w:val="en-IN"/>
        </w:rPr>
        <w:t xml:space="preserve"> sever consolidation technique</w:t>
      </w:r>
      <w:r w:rsidR="00572D3C">
        <w:rPr>
          <w:rFonts w:ascii="Times New Roman" w:hAnsi="Times New Roman" w:cs="Times New Roman"/>
          <w:lang w:val="en-IN"/>
        </w:rPr>
        <w:t>.</w:t>
      </w:r>
      <w:r w:rsidR="00D81A93" w:rsidRPr="00B3151A">
        <w:rPr>
          <w:rFonts w:ascii="Times New Roman" w:hAnsi="Times New Roman" w:cs="Times New Roman"/>
          <w:lang w:val="en-IN"/>
        </w:rPr>
        <w:t xml:space="preserve"> Their approach prioritizes virtual machines with steady capacity.</w:t>
      </w:r>
      <w:r w:rsidR="00B47783">
        <w:rPr>
          <w:rFonts w:ascii="Times New Roman" w:hAnsi="Times New Roman" w:cs="Times New Roman"/>
          <w:lang w:val="en-IN"/>
        </w:rPr>
        <w:t xml:space="preserve"> Avoidance of VM</w:t>
      </w:r>
      <w:r w:rsidR="00D81A93" w:rsidRPr="00B3151A">
        <w:rPr>
          <w:rFonts w:ascii="Times New Roman" w:hAnsi="Times New Roman" w:cs="Times New Roman"/>
          <w:lang w:val="en-IN"/>
        </w:rPr>
        <w:t xml:space="preserve"> </w:t>
      </w:r>
      <w:r w:rsidR="00572D3C">
        <w:rPr>
          <w:rFonts w:ascii="Times New Roman" w:hAnsi="Times New Roman" w:cs="Times New Roman"/>
          <w:lang w:val="en-IN"/>
        </w:rPr>
        <w:t>m</w:t>
      </w:r>
      <w:r w:rsidR="00D81A93" w:rsidRPr="00B3151A">
        <w:rPr>
          <w:rFonts w:ascii="Times New Roman" w:hAnsi="Times New Roman" w:cs="Times New Roman"/>
          <w:lang w:val="en-IN"/>
        </w:rPr>
        <w:t>igration</w:t>
      </w:r>
      <w:r w:rsidR="00B47783">
        <w:rPr>
          <w:rFonts w:ascii="Times New Roman" w:hAnsi="Times New Roman" w:cs="Times New Roman"/>
          <w:lang w:val="en-IN"/>
        </w:rPr>
        <w:t>s</w:t>
      </w:r>
      <w:r w:rsidR="00D81A93" w:rsidRPr="00B3151A">
        <w:rPr>
          <w:rFonts w:ascii="Times New Roman" w:hAnsi="Times New Roman" w:cs="Times New Roman"/>
          <w:lang w:val="en-IN"/>
        </w:rPr>
        <w:t xml:space="preserve"> with steady capacity reduces the number of migrations with minimal penalty in the number of physical servers. Algorithm focus on reducing the number of physical servers required. Therefore, when there is server with a single VM that can be accommodated in another server, VM will be migrated and server will be put in off mode. This technique will only enable the migration if the VM requires a change in its capacity; otherwise it will remain in the same server.  </w:t>
      </w:r>
      <w:r w:rsidR="00B47783">
        <w:rPr>
          <w:rFonts w:ascii="Times New Roman" w:hAnsi="Times New Roman" w:cs="Times New Roman"/>
          <w:lang w:val="en-IN"/>
        </w:rPr>
        <w:t xml:space="preserve">Another approach, </w:t>
      </w:r>
      <w:r w:rsidR="00D81A93" w:rsidRPr="00B3151A">
        <w:rPr>
          <w:rFonts w:ascii="Times New Roman" w:hAnsi="Times New Roman" w:cs="Times New Roman"/>
          <w:lang w:val="en-IN"/>
        </w:rPr>
        <w:t xml:space="preserve">V-MAN </w:t>
      </w:r>
      <w:r w:rsidR="00B47783">
        <w:rPr>
          <w:rFonts w:ascii="Times New Roman" w:hAnsi="Times New Roman" w:cs="Times New Roman"/>
          <w:lang w:val="en-IN"/>
        </w:rPr>
        <w:t>(</w:t>
      </w:r>
      <w:r w:rsidR="00B47783" w:rsidRPr="00572D3C">
        <w:rPr>
          <w:rFonts w:ascii="Times New Roman" w:hAnsi="Times New Roman" w:cs="Times New Roman"/>
          <w:lang w:val="en-IN"/>
        </w:rPr>
        <w:t>Marzolla, Babaoglu &amp; Panzieri 2011)</w:t>
      </w:r>
      <w:r w:rsidR="00D81A93" w:rsidRPr="00B3151A">
        <w:rPr>
          <w:rFonts w:ascii="Times New Roman" w:hAnsi="Times New Roman" w:cs="Times New Roman"/>
          <w:lang w:val="en-IN"/>
        </w:rPr>
        <w:t>, a gossip-based algorithm for consolidating Virtual Machines using server consolidation technique</w:t>
      </w:r>
      <w:r w:rsidR="00B47783">
        <w:rPr>
          <w:rFonts w:ascii="Times New Roman" w:hAnsi="Times New Roman" w:cs="Times New Roman"/>
          <w:lang w:val="en-IN"/>
        </w:rPr>
        <w:t xml:space="preserve"> has been used to optimize cloud energy requirements </w:t>
      </w:r>
      <w:r w:rsidR="00D81A93" w:rsidRPr="00B3151A">
        <w:rPr>
          <w:rFonts w:ascii="Times New Roman" w:hAnsi="Times New Roman" w:cs="Times New Roman"/>
          <w:lang w:val="en-IN"/>
        </w:rPr>
        <w:t>. This technique has successful to put hosts in power-saving mode, resulting in a large reduction in the total energy consumption of the cloud infrastructure. V-MAN is fully decentralized and does not require any global knowledge but some limitations are also present in such decentralized systems. Each server can exchange messages with a limited number of peers. Also they</w:t>
      </w:r>
      <w:r w:rsidR="002B71E2">
        <w:rPr>
          <w:rFonts w:ascii="Times New Roman" w:hAnsi="Times New Roman" w:cs="Times New Roman"/>
          <w:lang w:val="en-IN"/>
        </w:rPr>
        <w:t xml:space="preserve"> </w:t>
      </w:r>
      <w:r w:rsidR="00D81A93" w:rsidRPr="00B3151A">
        <w:rPr>
          <w:rFonts w:ascii="Times New Roman" w:hAnsi="Times New Roman" w:cs="Times New Roman"/>
          <w:lang w:val="en-IN"/>
        </w:rPr>
        <w:t xml:space="preserve">assumed that all VMs are identical, but in real world it could not be possible. </w:t>
      </w:r>
    </w:p>
    <w:p w:rsidR="004F3CB9" w:rsidRPr="00B3151A" w:rsidRDefault="004F3CB9" w:rsidP="004F3CB9">
      <w:pPr>
        <w:snapToGrid w:val="0"/>
        <w:ind w:right="268" w:firstLine="346"/>
        <w:jc w:val="both"/>
        <w:rPr>
          <w:rFonts w:ascii="Times New Roman" w:hAnsi="Times New Roman" w:cs="Times New Roman"/>
          <w:lang w:val="en-IN"/>
        </w:rPr>
      </w:pPr>
      <w:r w:rsidRPr="00B3151A">
        <w:rPr>
          <w:rFonts w:ascii="Times New Roman" w:hAnsi="Times New Roman" w:cs="Times New Roman"/>
          <w:lang w:val="en-IN"/>
        </w:rPr>
        <w:t>Beloglazov et al.,</w:t>
      </w:r>
      <w:r>
        <w:rPr>
          <w:rFonts w:ascii="Times New Roman" w:hAnsi="Times New Roman" w:cs="Times New Roman"/>
          <w:lang w:val="en-IN"/>
        </w:rPr>
        <w:t xml:space="preserve"> </w:t>
      </w:r>
      <w:r w:rsidRPr="00B3151A">
        <w:rPr>
          <w:rFonts w:ascii="Times New Roman" w:hAnsi="Times New Roman" w:cs="Times New Roman"/>
          <w:lang w:val="en-IN"/>
        </w:rPr>
        <w:t xml:space="preserve">(2012) define an architecture and major principles for energy-efficient Cloud computing. Author presents, open research challenges, allocation algorithms and resource provisioning for energy-efficient resource management of Cloud computing environments. </w:t>
      </w:r>
      <w:r>
        <w:rPr>
          <w:rFonts w:ascii="Times New Roman" w:hAnsi="Times New Roman" w:cs="Times New Roman"/>
          <w:lang w:val="en-IN"/>
        </w:rPr>
        <w:t xml:space="preserve">They proposed an approach for placement of virtual machine in such a manner that reduces energy requirements and number of migrations. Their approach </w:t>
      </w:r>
      <w:r>
        <w:rPr>
          <w:rFonts w:ascii="Times New Roman" w:hAnsi="Times New Roman" w:cs="Times New Roman"/>
          <w:lang w:val="en-IN"/>
        </w:rPr>
        <w:lastRenderedPageBreak/>
        <w:t>outperformed the others but they did not considered SLA parameters while selecting virtual machines for migration.</w:t>
      </w:r>
    </w:p>
    <w:p w:rsidR="004F3CB9" w:rsidRDefault="004F3CB9" w:rsidP="004F3CB9">
      <w:pPr>
        <w:snapToGrid w:val="0"/>
        <w:ind w:right="268" w:firstLine="346"/>
        <w:jc w:val="both"/>
        <w:rPr>
          <w:rFonts w:ascii="Times New Roman" w:hAnsi="Times New Roman" w:cs="Times New Roman"/>
          <w:lang w:val="en-IN"/>
        </w:rPr>
      </w:pPr>
      <w:r>
        <w:rPr>
          <w:rFonts w:ascii="Times New Roman" w:hAnsi="Times New Roman" w:cs="Times New Roman"/>
          <w:lang w:val="en-IN"/>
        </w:rPr>
        <w:t>S</w:t>
      </w:r>
      <w:r w:rsidRPr="00B3151A">
        <w:rPr>
          <w:rFonts w:ascii="Times New Roman" w:hAnsi="Times New Roman" w:cs="Times New Roman"/>
          <w:lang w:val="en-IN"/>
        </w:rPr>
        <w:t>etzer &amp;</w:t>
      </w:r>
      <w:r>
        <w:rPr>
          <w:rFonts w:ascii="Times New Roman" w:hAnsi="Times New Roman" w:cs="Times New Roman"/>
          <w:lang w:val="en-IN"/>
        </w:rPr>
        <w:t xml:space="preserve"> </w:t>
      </w:r>
      <w:r w:rsidRPr="00B3151A">
        <w:rPr>
          <w:rFonts w:ascii="Times New Roman" w:hAnsi="Times New Roman" w:cs="Times New Roman"/>
          <w:lang w:val="en-IN"/>
        </w:rPr>
        <w:t xml:space="preserve">Bichler </w:t>
      </w:r>
      <w:r>
        <w:rPr>
          <w:rFonts w:ascii="Times New Roman" w:hAnsi="Times New Roman" w:cs="Times New Roman"/>
          <w:lang w:val="en-IN"/>
        </w:rPr>
        <w:t>(2013)</w:t>
      </w:r>
      <w:r w:rsidRPr="00B3151A">
        <w:rPr>
          <w:rFonts w:ascii="Times New Roman" w:hAnsi="Times New Roman" w:cs="Times New Roman"/>
          <w:lang w:val="en-IN"/>
        </w:rPr>
        <w:t xml:space="preserve"> have suggest</w:t>
      </w:r>
      <w:r>
        <w:rPr>
          <w:rFonts w:ascii="Times New Roman" w:hAnsi="Times New Roman" w:cs="Times New Roman"/>
          <w:lang w:val="en-IN"/>
        </w:rPr>
        <w:t>ed</w:t>
      </w:r>
      <w:r w:rsidRPr="00B3151A">
        <w:rPr>
          <w:rFonts w:ascii="Times New Roman" w:hAnsi="Times New Roman" w:cs="Times New Roman"/>
          <w:lang w:val="en-IN"/>
        </w:rPr>
        <w:t xml:space="preserve"> </w:t>
      </w:r>
      <w:r>
        <w:rPr>
          <w:rFonts w:ascii="Times New Roman" w:hAnsi="Times New Roman" w:cs="Times New Roman"/>
          <w:lang w:val="en-IN"/>
        </w:rPr>
        <w:t xml:space="preserve">to </w:t>
      </w:r>
      <w:r w:rsidRPr="00B3151A">
        <w:rPr>
          <w:rFonts w:ascii="Times New Roman" w:hAnsi="Times New Roman" w:cs="Times New Roman"/>
          <w:lang w:val="en-IN"/>
        </w:rPr>
        <w:t>minimiz</w:t>
      </w:r>
      <w:r>
        <w:rPr>
          <w:rFonts w:ascii="Times New Roman" w:hAnsi="Times New Roman" w:cs="Times New Roman"/>
          <w:lang w:val="en-IN"/>
        </w:rPr>
        <w:t>e</w:t>
      </w:r>
      <w:r w:rsidRPr="00B3151A">
        <w:rPr>
          <w:rFonts w:ascii="Times New Roman" w:hAnsi="Times New Roman" w:cs="Times New Roman"/>
          <w:lang w:val="en-IN"/>
        </w:rPr>
        <w:t xml:space="preserve"> the number of servers dynamically, but at the same time giving adequate computing resources to each point in time. They used singular value decomposition (SVD) to obtain significant attributes from a large constraint matrix and give a new geometric interpretation of these attributes, which permits the allocation of huge collection of applications to physical servers or other hardware with this new formulation. Large volumes of data would typically render the server consolidation problem intractable for all but small instances.</w:t>
      </w:r>
    </w:p>
    <w:p w:rsidR="00D81A93" w:rsidRPr="00B3151A" w:rsidRDefault="00D81A93" w:rsidP="004F3CB9">
      <w:pPr>
        <w:snapToGrid w:val="0"/>
        <w:ind w:right="268" w:firstLine="346"/>
        <w:jc w:val="both"/>
        <w:rPr>
          <w:rFonts w:ascii="Times New Roman" w:hAnsi="Times New Roman" w:cs="Times New Roman"/>
          <w:lang w:val="en-IN"/>
        </w:rPr>
      </w:pPr>
      <w:r w:rsidRPr="00B3151A">
        <w:rPr>
          <w:rFonts w:ascii="Times New Roman" w:hAnsi="Times New Roman" w:cs="Times New Roman"/>
          <w:lang w:val="en-IN"/>
        </w:rPr>
        <w:t xml:space="preserve">Server consolidation makes it possible to put unused servers into the sleep mode, which can typically save more power than DVFS. However, server consolidation may incur a higher overhead. Due to variations in workload, the power optimizer may require the migration of a VM from one server to another, or require a server to awaken. These operations are time consuming, especially when the processors of the related servers are busy, or when the network bandwidth is limited. Thus, the optimizer should not be invoked too frequently </w:t>
      </w:r>
      <w:r w:rsidR="00523F9B">
        <w:rPr>
          <w:rFonts w:ascii="Times New Roman" w:hAnsi="Times New Roman" w:cs="Times New Roman"/>
          <w:lang w:val="en-IN"/>
        </w:rPr>
        <w:t>(</w:t>
      </w:r>
      <w:r w:rsidR="00523F9B" w:rsidRPr="00523F9B">
        <w:rPr>
          <w:rFonts w:ascii="Times New Roman" w:hAnsi="Times New Roman" w:cs="Times New Roman"/>
          <w:lang w:val="en-IN"/>
        </w:rPr>
        <w:t>Wang &amp; Wang, 2014)</w:t>
      </w:r>
      <w:r w:rsidR="00523F9B">
        <w:rPr>
          <w:rFonts w:ascii="Times New Roman" w:hAnsi="Times New Roman" w:cs="Times New Roman"/>
          <w:sz w:val="16"/>
          <w:szCs w:val="16"/>
          <w:shd w:val="clear" w:color="auto" w:fill="FFFFFF"/>
        </w:rPr>
        <w:t>.</w:t>
      </w:r>
    </w:p>
    <w:p w:rsidR="00D76758" w:rsidRPr="00B3151A" w:rsidRDefault="00D76758" w:rsidP="00D76758">
      <w:pPr>
        <w:snapToGrid w:val="0"/>
        <w:ind w:right="268"/>
        <w:jc w:val="both"/>
        <w:rPr>
          <w:rFonts w:ascii="Times New Roman" w:hAnsi="Times New Roman" w:cs="Times New Roman"/>
          <w:lang w:val="en-IN"/>
        </w:rPr>
      </w:pPr>
    </w:p>
    <w:p w:rsidR="00B013DF" w:rsidRPr="00B3151A" w:rsidRDefault="00012FD7" w:rsidP="002B71E2">
      <w:pPr>
        <w:pStyle w:val="ListParagraph"/>
        <w:numPr>
          <w:ilvl w:val="0"/>
          <w:numId w:val="26"/>
        </w:numPr>
        <w:spacing w:line="240" w:lineRule="auto"/>
        <w:ind w:left="540" w:right="268" w:hanging="540"/>
        <w:rPr>
          <w:b/>
          <w:color w:val="auto"/>
          <w:sz w:val="20"/>
          <w:szCs w:val="20"/>
        </w:rPr>
      </w:pPr>
      <w:r w:rsidRPr="00B3151A">
        <w:rPr>
          <w:b/>
          <w:color w:val="auto"/>
          <w:sz w:val="20"/>
          <w:szCs w:val="20"/>
        </w:rPr>
        <w:t>Proposed Approach</w:t>
      </w:r>
    </w:p>
    <w:p w:rsidR="00B013DF" w:rsidRPr="00B3151A" w:rsidRDefault="00B013DF" w:rsidP="002B71E2">
      <w:pPr>
        <w:ind w:right="268"/>
        <w:jc w:val="both"/>
      </w:pPr>
      <w:r w:rsidRPr="00B3151A">
        <w:t xml:space="preserve">Due to the dynamic nature of cloud computing, sometimes servers will </w:t>
      </w:r>
      <w:r w:rsidR="00494D38">
        <w:t>be overloaded. The situation</w:t>
      </w:r>
      <w:r w:rsidRPr="00B3151A">
        <w:t xml:space="preserve"> cause performance degradation due to the lack of resources at the guest operating systems. To handle the situation few of the VMs need to </w:t>
      </w:r>
      <w:r w:rsidR="00494D38">
        <w:t xml:space="preserve">migrated </w:t>
      </w:r>
      <w:r w:rsidRPr="00B3151A">
        <w:t xml:space="preserve">from such overloaded hosts. In this section we purpose a new approach that selects the VM based upon </w:t>
      </w:r>
      <w:r w:rsidR="00494D38">
        <w:t>the CPU utilization and categories</w:t>
      </w:r>
      <w:r w:rsidRPr="00B3151A">
        <w:t xml:space="preserve"> of VM</w:t>
      </w:r>
      <w:r w:rsidR="00494D38">
        <w:t>s, for migration.</w:t>
      </w:r>
      <w:r w:rsidRPr="00B3151A">
        <w:t xml:space="preserve"> The proposed approach prefers to migrate the VMs that belongs to the higher category so that that the resources may be allocated to these VMs to avoid costly penalties for SLA violations. Our approach </w:t>
      </w:r>
      <w:r w:rsidR="00494D38">
        <w:t xml:space="preserve">reduces the cost by optimizing the energy consumption and </w:t>
      </w:r>
      <w:r w:rsidRPr="00B3151A">
        <w:t>amount of penalties paid for SLA violations.</w:t>
      </w:r>
    </w:p>
    <w:p w:rsidR="00B013DF" w:rsidRPr="00B3151A" w:rsidRDefault="00B013DF" w:rsidP="00D76758">
      <w:pPr>
        <w:ind w:right="268" w:firstLine="346"/>
      </w:pPr>
    </w:p>
    <w:p w:rsidR="00B013DF" w:rsidRPr="00B3151A" w:rsidRDefault="00B013DF" w:rsidP="002B71E2">
      <w:pPr>
        <w:pStyle w:val="ListParagraph"/>
        <w:numPr>
          <w:ilvl w:val="1"/>
          <w:numId w:val="27"/>
        </w:numPr>
        <w:spacing w:line="240" w:lineRule="auto"/>
        <w:ind w:right="268"/>
        <w:rPr>
          <w:b/>
          <w:color w:val="auto"/>
          <w:sz w:val="20"/>
          <w:szCs w:val="20"/>
        </w:rPr>
      </w:pPr>
      <w:r w:rsidRPr="00B3151A">
        <w:rPr>
          <w:b/>
          <w:color w:val="auto"/>
          <w:sz w:val="20"/>
          <w:szCs w:val="20"/>
        </w:rPr>
        <w:t>Categorization of Virtual Machines</w:t>
      </w:r>
    </w:p>
    <w:p w:rsidR="00B013DF" w:rsidRPr="00B3151A" w:rsidRDefault="00B013DF" w:rsidP="002B71E2">
      <w:pPr>
        <w:ind w:right="268" w:firstLine="346"/>
        <w:jc w:val="both"/>
        <w:rPr>
          <w:i/>
        </w:rPr>
      </w:pPr>
      <w:r w:rsidRPr="00B3151A">
        <w:t>As the cloud computing is utility based computing, we proposed to categorize VM based on the VM usage cost. We divide the VMs into five categories: category 1 to 5 with following assumptions:</w:t>
      </w:r>
    </w:p>
    <w:p w:rsidR="00B013DF" w:rsidRPr="00B3151A" w:rsidRDefault="00B013DF" w:rsidP="00D76758">
      <w:pPr>
        <w:pStyle w:val="ListParagraph"/>
        <w:numPr>
          <w:ilvl w:val="0"/>
          <w:numId w:val="7"/>
        </w:numPr>
        <w:spacing w:line="240" w:lineRule="auto"/>
        <w:ind w:left="180" w:right="268" w:hanging="180"/>
        <w:rPr>
          <w:color w:val="auto"/>
          <w:sz w:val="20"/>
          <w:szCs w:val="20"/>
        </w:rPr>
      </w:pPr>
      <w:r w:rsidRPr="00B3151A">
        <w:rPr>
          <w:color w:val="auto"/>
          <w:sz w:val="20"/>
          <w:szCs w:val="20"/>
        </w:rPr>
        <w:t xml:space="preserve">The </w:t>
      </w:r>
      <w:r w:rsidR="00463EAB" w:rsidRPr="00B3151A">
        <w:rPr>
          <w:color w:val="auto"/>
          <w:sz w:val="20"/>
          <w:szCs w:val="20"/>
        </w:rPr>
        <w:t xml:space="preserve">usage </w:t>
      </w:r>
      <w:r w:rsidRPr="00B3151A">
        <w:rPr>
          <w:color w:val="auto"/>
          <w:sz w:val="20"/>
          <w:szCs w:val="20"/>
        </w:rPr>
        <w:t>cost of category-1 VMs is lowest while the cost of category-5 VMs is highest i.e. higher the category, higher the cost.</w:t>
      </w:r>
    </w:p>
    <w:p w:rsidR="00B013DF" w:rsidRPr="00B3151A" w:rsidRDefault="00B013DF" w:rsidP="00D76758">
      <w:pPr>
        <w:pStyle w:val="ListParagraph"/>
        <w:numPr>
          <w:ilvl w:val="0"/>
          <w:numId w:val="7"/>
        </w:numPr>
        <w:spacing w:line="240" w:lineRule="auto"/>
        <w:ind w:left="180" w:right="268" w:hanging="180"/>
        <w:rPr>
          <w:color w:val="auto"/>
          <w:sz w:val="20"/>
          <w:szCs w:val="20"/>
        </w:rPr>
      </w:pPr>
      <w:r w:rsidRPr="00B3151A">
        <w:rPr>
          <w:color w:val="auto"/>
          <w:sz w:val="20"/>
          <w:szCs w:val="20"/>
        </w:rPr>
        <w:t>In case of SLA violation, cloud service provider have to pay higher penalty amount for the category 5 VMs as compared to other Categories i.e. higher the category, higher the penalty.</w:t>
      </w:r>
    </w:p>
    <w:p w:rsidR="00B013DF" w:rsidRPr="00B3151A" w:rsidRDefault="00B013DF" w:rsidP="00494D38">
      <w:pPr>
        <w:ind w:right="268"/>
        <w:jc w:val="both"/>
      </w:pPr>
      <w:r w:rsidRPr="00B3151A">
        <w:t>Cloud users will select the VM category they want to use and mention in the Service Level Agreement.</w:t>
      </w:r>
    </w:p>
    <w:p w:rsidR="00494D38" w:rsidRDefault="00494D38" w:rsidP="00012FD7">
      <w:pPr>
        <w:ind w:right="268"/>
        <w:jc w:val="both"/>
        <w:rPr>
          <w:b/>
        </w:rPr>
      </w:pPr>
    </w:p>
    <w:p w:rsidR="00CE694A" w:rsidRDefault="00CE694A" w:rsidP="00012FD7">
      <w:pPr>
        <w:ind w:right="268"/>
        <w:jc w:val="both"/>
        <w:rPr>
          <w:b/>
        </w:rPr>
      </w:pPr>
    </w:p>
    <w:p w:rsidR="00CE694A" w:rsidRDefault="00CE694A" w:rsidP="00012FD7">
      <w:pPr>
        <w:ind w:right="268"/>
        <w:jc w:val="both"/>
        <w:rPr>
          <w:b/>
        </w:rPr>
      </w:pPr>
    </w:p>
    <w:p w:rsidR="00CE694A" w:rsidRDefault="00CE694A" w:rsidP="00012FD7">
      <w:pPr>
        <w:ind w:right="268"/>
        <w:jc w:val="both"/>
        <w:rPr>
          <w:b/>
        </w:rPr>
      </w:pPr>
    </w:p>
    <w:p w:rsidR="00CE694A" w:rsidRDefault="00CE694A" w:rsidP="00012FD7">
      <w:pPr>
        <w:ind w:right="268"/>
        <w:jc w:val="both"/>
        <w:rPr>
          <w:b/>
        </w:rPr>
      </w:pPr>
    </w:p>
    <w:p w:rsidR="00CE694A" w:rsidRDefault="00CE694A" w:rsidP="00012FD7">
      <w:pPr>
        <w:ind w:right="268"/>
        <w:jc w:val="both"/>
        <w:rPr>
          <w:b/>
        </w:rPr>
      </w:pPr>
    </w:p>
    <w:p w:rsidR="00B013DF" w:rsidRPr="00B3151A" w:rsidRDefault="00494D38" w:rsidP="00012FD7">
      <w:pPr>
        <w:ind w:right="268"/>
        <w:jc w:val="both"/>
        <w:rPr>
          <w:b/>
        </w:rPr>
      </w:pPr>
      <w:r>
        <w:rPr>
          <w:b/>
        </w:rPr>
        <w:t xml:space="preserve">3.2 </w:t>
      </w:r>
      <w:r w:rsidR="00B013DF" w:rsidRPr="00B3151A">
        <w:rPr>
          <w:b/>
        </w:rPr>
        <w:t>Proposed Algorithm</w:t>
      </w:r>
    </w:p>
    <w:p w:rsidR="00012FD7" w:rsidRPr="00B3151A" w:rsidRDefault="00012FD7" w:rsidP="00012FD7">
      <w:pPr>
        <w:ind w:right="268"/>
        <w:jc w:val="both"/>
        <w:rPr>
          <w:i/>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4"/>
      </w:tblGrid>
      <w:tr w:rsidR="00B013DF" w:rsidRPr="00B3151A" w:rsidTr="00494D38">
        <w:tc>
          <w:tcPr>
            <w:tcW w:w="4534" w:type="dxa"/>
          </w:tcPr>
          <w:p w:rsidR="00B013DF" w:rsidRPr="00B3151A" w:rsidRDefault="00B013DF" w:rsidP="00D76758">
            <w:pPr>
              <w:pStyle w:val="ListParagraph"/>
              <w:numPr>
                <w:ilvl w:val="0"/>
                <w:numId w:val="9"/>
              </w:numPr>
              <w:spacing w:line="240" w:lineRule="auto"/>
              <w:ind w:left="360" w:right="268"/>
              <w:rPr>
                <w:i/>
                <w:color w:val="auto"/>
                <w:sz w:val="20"/>
                <w:szCs w:val="20"/>
              </w:rPr>
            </w:pPr>
            <w:r w:rsidRPr="00B3151A">
              <w:rPr>
                <w:i/>
                <w:color w:val="auto"/>
                <w:sz w:val="20"/>
                <w:szCs w:val="20"/>
              </w:rPr>
              <w:t xml:space="preserve">Prepare the list OH of  Hosts having CPU  utilization &gt; Upper-Threshold </w:t>
            </w:r>
          </w:p>
          <w:p w:rsidR="00B013DF" w:rsidRPr="00B3151A" w:rsidRDefault="00B013DF" w:rsidP="00D76758">
            <w:pPr>
              <w:pStyle w:val="ListParagraph"/>
              <w:numPr>
                <w:ilvl w:val="0"/>
                <w:numId w:val="9"/>
              </w:numPr>
              <w:spacing w:line="240" w:lineRule="auto"/>
              <w:ind w:left="360" w:right="268"/>
              <w:rPr>
                <w:i/>
                <w:color w:val="auto"/>
                <w:sz w:val="20"/>
                <w:szCs w:val="20"/>
              </w:rPr>
            </w:pPr>
            <w:r w:rsidRPr="00B3151A">
              <w:rPr>
                <w:i/>
                <w:color w:val="auto"/>
                <w:sz w:val="20"/>
                <w:szCs w:val="20"/>
              </w:rPr>
              <w:t>For each Host H in list OH do</w:t>
            </w:r>
          </w:p>
          <w:p w:rsidR="00B013DF" w:rsidRPr="00B3151A" w:rsidRDefault="00B013DF" w:rsidP="00D76758">
            <w:pPr>
              <w:ind w:left="720" w:right="268" w:hanging="360"/>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2.1</w:t>
            </w:r>
            <w:r w:rsidR="00884543" w:rsidRPr="00B3151A">
              <w:rPr>
                <w:rFonts w:ascii="Times New Roman" w:eastAsia="Calibri" w:hAnsi="Times New Roman" w:cs="Times New Roman"/>
                <w:i/>
                <w:lang w:val="en-IN" w:eastAsia="en-US"/>
              </w:rPr>
              <w:t xml:space="preserve"> </w:t>
            </w:r>
            <w:r w:rsidRPr="00B3151A">
              <w:rPr>
                <w:rFonts w:ascii="Times New Roman" w:eastAsia="Calibri" w:hAnsi="Times New Roman" w:cs="Times New Roman"/>
                <w:i/>
                <w:lang w:val="en-IN" w:eastAsia="en-US"/>
              </w:rPr>
              <w:t xml:space="preserve"> Until CPU utilization of H &gt; Upper-Threshold</w:t>
            </w:r>
          </w:p>
          <w:p w:rsidR="00B013DF" w:rsidRPr="00B3151A" w:rsidRDefault="00B013DF" w:rsidP="00D76758">
            <w:pPr>
              <w:ind w:left="810" w:right="268" w:hanging="90"/>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ab/>
              <w:t>2.1.1. Find the list UCL of VMs that belong to the uppermost category among VMs running on H.</w:t>
            </w:r>
          </w:p>
          <w:p w:rsidR="00B013DF" w:rsidRPr="00B3151A" w:rsidRDefault="00B013DF" w:rsidP="00D76758">
            <w:pPr>
              <w:ind w:left="810" w:right="268"/>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2.1.2. Find the VM V from list UCL such that   Absolute ((CPU utilization of H –Upper-Threshold) – CPU utilization by V) is minimum.</w:t>
            </w:r>
          </w:p>
          <w:p w:rsidR="00B013DF" w:rsidRPr="00B3151A" w:rsidRDefault="00B013DF" w:rsidP="00D76758">
            <w:pPr>
              <w:ind w:left="810" w:right="268"/>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2.1.3. Add V to list of machines to be migrated.</w:t>
            </w:r>
          </w:p>
          <w:p w:rsidR="00B013DF" w:rsidRPr="00B3151A" w:rsidRDefault="00B013DF" w:rsidP="00D76758">
            <w:pPr>
              <w:ind w:left="810" w:right="268"/>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2.1.4 Set CPU-Utilization of H = CPU-Utilization of H - CPU utilization by V</w:t>
            </w:r>
          </w:p>
          <w:p w:rsidR="00B013DF" w:rsidRPr="00B3151A" w:rsidRDefault="00B013DF" w:rsidP="00D76758">
            <w:pPr>
              <w:ind w:left="810" w:right="268"/>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ab/>
              <w:t>[End of step 2.1].</w:t>
            </w:r>
          </w:p>
          <w:p w:rsidR="00B013DF" w:rsidRPr="00B3151A" w:rsidRDefault="00B013DF" w:rsidP="00D76758">
            <w:pPr>
              <w:ind w:left="360" w:right="268" w:hanging="360"/>
              <w:jc w:val="both"/>
              <w:rPr>
                <w:rFonts w:ascii="Times New Roman" w:eastAsia="Calibri" w:hAnsi="Times New Roman" w:cs="Times New Roman"/>
                <w:i/>
                <w:lang w:val="en-IN" w:eastAsia="en-US"/>
              </w:rPr>
            </w:pPr>
            <w:r w:rsidRPr="00B3151A">
              <w:rPr>
                <w:rFonts w:ascii="Times New Roman" w:eastAsia="Calibri" w:hAnsi="Times New Roman" w:cs="Times New Roman"/>
                <w:i/>
                <w:lang w:val="en-IN" w:eastAsia="en-US"/>
              </w:rPr>
              <w:t>[End of step 2].</w:t>
            </w:r>
          </w:p>
          <w:p w:rsidR="00B013DF" w:rsidRPr="00B3151A" w:rsidRDefault="00B013DF" w:rsidP="00D76758">
            <w:pPr>
              <w:pStyle w:val="ListParagraph"/>
              <w:numPr>
                <w:ilvl w:val="0"/>
                <w:numId w:val="9"/>
              </w:numPr>
              <w:ind w:left="360" w:right="268"/>
              <w:rPr>
                <w:i/>
                <w:color w:val="auto"/>
                <w:sz w:val="20"/>
                <w:szCs w:val="20"/>
              </w:rPr>
            </w:pPr>
            <w:r w:rsidRPr="00B3151A">
              <w:rPr>
                <w:i/>
                <w:color w:val="auto"/>
                <w:sz w:val="20"/>
                <w:szCs w:val="20"/>
              </w:rPr>
              <w:t>Migrate the VMs selected in step 2.</w:t>
            </w:r>
          </w:p>
          <w:p w:rsidR="00B013DF" w:rsidRPr="00B3151A" w:rsidRDefault="00B013DF" w:rsidP="00D76758">
            <w:pPr>
              <w:ind w:left="360" w:right="268" w:hanging="360"/>
              <w:jc w:val="both"/>
              <w:rPr>
                <w:i/>
              </w:rPr>
            </w:pPr>
            <w:r w:rsidRPr="00B3151A">
              <w:rPr>
                <w:rFonts w:ascii="Times New Roman" w:eastAsia="Calibri" w:hAnsi="Times New Roman" w:cs="Times New Roman"/>
                <w:i/>
                <w:lang w:val="en-IN" w:eastAsia="en-US"/>
              </w:rPr>
              <w:t>[End of the Algorithm]</w:t>
            </w:r>
          </w:p>
        </w:tc>
      </w:tr>
    </w:tbl>
    <w:p w:rsidR="00884543" w:rsidRPr="00B3151A" w:rsidRDefault="00884543" w:rsidP="00D76758">
      <w:pPr>
        <w:ind w:right="268" w:firstLine="284"/>
        <w:jc w:val="both"/>
        <w:rPr>
          <w:rFonts w:ascii="Times New Roman" w:eastAsia="Calibri" w:hAnsi="Times New Roman" w:cs="Times New Roman"/>
          <w:lang w:val="en-IN" w:eastAsia="en-US"/>
        </w:rPr>
      </w:pPr>
    </w:p>
    <w:p w:rsidR="00884543" w:rsidRPr="00B3151A" w:rsidRDefault="00884543" w:rsidP="00D76758">
      <w:pPr>
        <w:ind w:right="268" w:firstLine="284"/>
        <w:jc w:val="both"/>
        <w:rPr>
          <w:rFonts w:ascii="Times New Roman" w:eastAsia="Calibri" w:hAnsi="Times New Roman" w:cs="Times New Roman"/>
          <w:lang w:val="en-IN" w:eastAsia="en-US"/>
        </w:rPr>
      </w:pPr>
      <w:r w:rsidRPr="00B3151A">
        <w:rPr>
          <w:rFonts w:ascii="Times New Roman" w:eastAsia="Calibri" w:hAnsi="Times New Roman" w:cs="Times New Roman"/>
          <w:lang w:val="en-IN" w:eastAsia="en-US"/>
        </w:rPr>
        <w:t>Firstly, this algorithm prepares the list overloaded hosts. Then for each overloaded host, the algorithm selects VMs to migrate by considering the category of VM. The algorithm stops when new utilization of host is lower than the upper utilization threshold. Flow chart given in fig</w:t>
      </w:r>
      <w:r w:rsidR="00D918DE">
        <w:rPr>
          <w:rFonts w:ascii="Times New Roman" w:eastAsia="Calibri" w:hAnsi="Times New Roman" w:cs="Times New Roman"/>
          <w:lang w:val="en-IN" w:eastAsia="en-US"/>
        </w:rPr>
        <w:t>ure</w:t>
      </w:r>
      <w:r w:rsidR="00666420">
        <w:rPr>
          <w:rFonts w:ascii="Times New Roman" w:eastAsia="Calibri" w:hAnsi="Times New Roman" w:cs="Times New Roman"/>
          <w:lang w:val="en-IN" w:eastAsia="en-US"/>
        </w:rPr>
        <w:t xml:space="preserve"> </w:t>
      </w:r>
      <w:r w:rsidRPr="00B3151A">
        <w:rPr>
          <w:rFonts w:ascii="Times New Roman" w:eastAsia="Calibri" w:hAnsi="Times New Roman" w:cs="Times New Roman"/>
          <w:lang w:val="en-IN" w:eastAsia="en-US"/>
        </w:rPr>
        <w:t>1</w:t>
      </w:r>
      <w:r w:rsidR="00BE6ED2" w:rsidRPr="00B3151A">
        <w:rPr>
          <w:rFonts w:ascii="Times New Roman" w:eastAsia="Calibri" w:hAnsi="Times New Roman" w:cs="Times New Roman"/>
          <w:lang w:val="en-IN" w:eastAsia="en-US"/>
        </w:rPr>
        <w:t xml:space="preserve"> </w:t>
      </w:r>
      <w:r w:rsidRPr="00B3151A">
        <w:rPr>
          <w:rFonts w:ascii="Times New Roman" w:eastAsia="Calibri" w:hAnsi="Times New Roman" w:cs="Times New Roman"/>
          <w:lang w:val="en-IN" w:eastAsia="en-US"/>
        </w:rPr>
        <w:t>depicts the working of this algorithm.</w:t>
      </w:r>
    </w:p>
    <w:p w:rsidR="002B71E2" w:rsidRDefault="002B71E2" w:rsidP="002B71E2">
      <w:pPr>
        <w:pStyle w:val="Default"/>
        <w:ind w:left="540" w:right="268"/>
        <w:rPr>
          <w:b/>
          <w:color w:val="auto"/>
          <w:sz w:val="20"/>
          <w:szCs w:val="20"/>
        </w:rPr>
      </w:pPr>
    </w:p>
    <w:p w:rsidR="002B71E2" w:rsidRPr="00B3151A" w:rsidRDefault="002B71E2" w:rsidP="00007D7A">
      <w:pPr>
        <w:pStyle w:val="Default"/>
        <w:numPr>
          <w:ilvl w:val="0"/>
          <w:numId w:val="9"/>
        </w:numPr>
        <w:spacing w:after="240"/>
        <w:ind w:left="540" w:right="268" w:hanging="540"/>
        <w:rPr>
          <w:b/>
          <w:color w:val="auto"/>
          <w:sz w:val="20"/>
          <w:szCs w:val="20"/>
        </w:rPr>
      </w:pPr>
      <w:r w:rsidRPr="00B3151A">
        <w:rPr>
          <w:b/>
          <w:color w:val="auto"/>
          <w:sz w:val="20"/>
          <w:szCs w:val="20"/>
        </w:rPr>
        <w:t>Simulation Parameters</w:t>
      </w:r>
    </w:p>
    <w:p w:rsidR="00007D7A" w:rsidRDefault="002B71E2" w:rsidP="00007D7A">
      <w:pPr>
        <w:spacing w:after="240"/>
        <w:ind w:right="268"/>
        <w:jc w:val="both"/>
        <w:rPr>
          <w:rFonts w:ascii="Times New Roman" w:eastAsia="Calibri" w:hAnsi="Times New Roman" w:cs="Times New Roman"/>
          <w:lang w:val="en-IN" w:eastAsia="en-US"/>
        </w:rPr>
      </w:pPr>
      <w:r w:rsidRPr="00B3151A">
        <w:rPr>
          <w:rFonts w:ascii="Times New Roman" w:eastAsia="Calibri" w:hAnsi="Times New Roman" w:cs="Times New Roman"/>
          <w:lang w:val="en-IN" w:eastAsia="en-US"/>
        </w:rPr>
        <w:t xml:space="preserve">The performance of the proposed approach has been evaluated by simulating it in CloudSim--3.0.3 </w:t>
      </w:r>
      <w:r w:rsidR="0076193E">
        <w:rPr>
          <w:rFonts w:ascii="Times New Roman" w:eastAsia="Calibri" w:hAnsi="Times New Roman" w:cs="Times New Roman"/>
          <w:lang w:val="en-IN" w:eastAsia="en-US"/>
        </w:rPr>
        <w:t>(</w:t>
      </w:r>
      <w:r w:rsidR="0076193E" w:rsidRPr="0076193E">
        <w:rPr>
          <w:rFonts w:ascii="Times New Roman" w:eastAsia="Calibri" w:hAnsi="Times New Roman" w:cs="Times New Roman"/>
          <w:lang w:eastAsia="en-US"/>
        </w:rPr>
        <w:t>Calheiros</w:t>
      </w:r>
      <w:r w:rsidR="0076193E">
        <w:rPr>
          <w:rFonts w:ascii="Times New Roman" w:eastAsia="Calibri" w:hAnsi="Times New Roman" w:cs="Times New Roman"/>
          <w:lang w:eastAsia="en-US"/>
        </w:rPr>
        <w:t xml:space="preserve"> et. al., 2011</w:t>
      </w:r>
      <w:r w:rsidR="0076193E">
        <w:rPr>
          <w:rFonts w:ascii="Times New Roman" w:eastAsia="Calibri" w:hAnsi="Times New Roman" w:cs="Times New Roman"/>
          <w:lang w:val="en-IN" w:eastAsia="en-US"/>
        </w:rPr>
        <w:t>)</w:t>
      </w:r>
      <w:r w:rsidRPr="00B3151A">
        <w:rPr>
          <w:rFonts w:ascii="Times New Roman" w:eastAsia="Calibri" w:hAnsi="Times New Roman" w:cs="Times New Roman"/>
          <w:lang w:val="en-IN" w:eastAsia="en-US"/>
        </w:rPr>
        <w:t xml:space="preserve"> with the parameters mentioned in Table</w:t>
      </w:r>
      <w:r w:rsidR="00A35B47">
        <w:rPr>
          <w:rFonts w:ascii="Times New Roman" w:eastAsia="Calibri" w:hAnsi="Times New Roman" w:cs="Times New Roman"/>
          <w:lang w:val="en-IN" w:eastAsia="en-US"/>
        </w:rPr>
        <w:t xml:space="preserve"> </w:t>
      </w:r>
      <w:r w:rsidRPr="00B3151A">
        <w:rPr>
          <w:rFonts w:ascii="Times New Roman" w:eastAsia="Calibri" w:hAnsi="Times New Roman" w:cs="Times New Roman"/>
          <w:lang w:val="en-IN" w:eastAsia="en-US"/>
        </w:rPr>
        <w:t>I. In order to evaluate the performance of purposed approach other scheme (Random Selection Policy, Minimum Migration Time Policy and Minimization of Migration Policy) used for the same purpose have also been simulated and performance of the purposed approach has been compared with the performance of these schemes.</w:t>
      </w:r>
    </w:p>
    <w:p w:rsidR="002B71E2" w:rsidRPr="00B3151A" w:rsidRDefault="002B71E2" w:rsidP="002B71E2">
      <w:pPr>
        <w:ind w:right="268"/>
        <w:jc w:val="both"/>
        <w:rPr>
          <w:rFonts w:ascii="Times New Roman" w:eastAsia="Calibri" w:hAnsi="Times New Roman" w:cs="Times New Roman"/>
          <w:lang w:val="en-IN" w:eastAsia="en-US"/>
        </w:rPr>
      </w:pPr>
      <w:r w:rsidRPr="00B3151A">
        <w:rPr>
          <w:rFonts w:ascii="Times New Roman" w:eastAsia="Calibri" w:hAnsi="Times New Roman" w:cs="Times New Roman"/>
          <w:lang w:val="en-IN" w:eastAsia="en-US"/>
        </w:rPr>
        <w:t xml:space="preserve"> </w:t>
      </w:r>
    </w:p>
    <w:p w:rsidR="002B71E2" w:rsidRPr="002B71E2" w:rsidRDefault="002B71E2" w:rsidP="002B71E2">
      <w:pPr>
        <w:pStyle w:val="Default"/>
        <w:ind w:right="268"/>
        <w:jc w:val="center"/>
        <w:rPr>
          <w:color w:val="auto"/>
          <w:sz w:val="16"/>
          <w:szCs w:val="20"/>
        </w:rPr>
      </w:pPr>
      <w:r w:rsidRPr="002B71E2">
        <w:rPr>
          <w:color w:val="auto"/>
          <w:sz w:val="16"/>
          <w:szCs w:val="20"/>
        </w:rPr>
        <w:t>Table 1: Simulation Parameters</w:t>
      </w:r>
    </w:p>
    <w:tbl>
      <w:tblPr>
        <w:tblW w:w="44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45"/>
        <w:gridCol w:w="2104"/>
      </w:tblGrid>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right="268"/>
              <w:jc w:val="left"/>
              <w:rPr>
                <w:b/>
                <w:color w:val="auto"/>
                <w:sz w:val="16"/>
                <w:szCs w:val="16"/>
              </w:rPr>
            </w:pPr>
            <w:r w:rsidRPr="00B3151A">
              <w:rPr>
                <w:b/>
                <w:color w:val="auto"/>
                <w:sz w:val="16"/>
                <w:szCs w:val="16"/>
              </w:rPr>
              <w:t>Parameters</w:t>
            </w:r>
          </w:p>
        </w:tc>
        <w:tc>
          <w:tcPr>
            <w:tcW w:w="2104" w:type="dxa"/>
            <w:shd w:val="clear" w:color="auto" w:fill="auto"/>
          </w:tcPr>
          <w:p w:rsidR="002B71E2" w:rsidRPr="00B3151A" w:rsidRDefault="002B71E2" w:rsidP="00800E18">
            <w:pPr>
              <w:pStyle w:val="ListParagraph"/>
              <w:ind w:right="268"/>
              <w:jc w:val="left"/>
              <w:rPr>
                <w:b/>
                <w:color w:val="auto"/>
                <w:sz w:val="16"/>
                <w:szCs w:val="16"/>
              </w:rPr>
            </w:pPr>
            <w:r w:rsidRPr="00B3151A">
              <w:rPr>
                <w:b/>
                <w:color w:val="auto"/>
                <w:sz w:val="16"/>
                <w:szCs w:val="16"/>
              </w:rPr>
              <w:t>Value/s</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Physical Node</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200</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Host Type</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2</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MIPS</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1860, 2660</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Host Storage</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1GB</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Host RAM</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4 GB</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Host CPU Core</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1</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Number of VMs</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300</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VM Type(based on configuration)</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4</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MIPS(VM)</w:t>
            </w:r>
          </w:p>
        </w:tc>
        <w:tc>
          <w:tcPr>
            <w:tcW w:w="2104" w:type="dxa"/>
            <w:shd w:val="clear" w:color="auto" w:fill="auto"/>
          </w:tcPr>
          <w:p w:rsidR="002B71E2" w:rsidRPr="00B3151A" w:rsidRDefault="002B71E2" w:rsidP="00800E18">
            <w:pPr>
              <w:pStyle w:val="ListParagraph"/>
              <w:ind w:left="0" w:right="268"/>
              <w:jc w:val="left"/>
              <w:rPr>
                <w:color w:val="auto"/>
                <w:sz w:val="16"/>
                <w:szCs w:val="16"/>
              </w:rPr>
            </w:pPr>
            <w:r w:rsidRPr="00B3151A">
              <w:rPr>
                <w:color w:val="auto"/>
                <w:sz w:val="16"/>
                <w:szCs w:val="16"/>
              </w:rPr>
              <w:t>2500, 2000, 1000, 500</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VM Size</w:t>
            </w:r>
          </w:p>
        </w:tc>
        <w:tc>
          <w:tcPr>
            <w:tcW w:w="2104" w:type="dxa"/>
            <w:shd w:val="clear" w:color="auto" w:fill="auto"/>
          </w:tcPr>
          <w:p w:rsidR="002B71E2" w:rsidRPr="00B3151A" w:rsidRDefault="002B71E2" w:rsidP="00800E18">
            <w:pPr>
              <w:ind w:right="268"/>
              <w:rPr>
                <w:rFonts w:ascii="Times New Roman" w:hAnsi="Times New Roman" w:cs="Times New Roman"/>
                <w:sz w:val="16"/>
                <w:szCs w:val="16"/>
              </w:rPr>
            </w:pPr>
            <w:r w:rsidRPr="00B3151A">
              <w:rPr>
                <w:rFonts w:ascii="Times New Roman" w:hAnsi="Times New Roman" w:cs="Times New Roman"/>
                <w:sz w:val="16"/>
                <w:szCs w:val="16"/>
              </w:rPr>
              <w:t>2.5GB</w:t>
            </w:r>
          </w:p>
        </w:tc>
      </w:tr>
      <w:tr w:rsidR="002B71E2" w:rsidRPr="00B3151A" w:rsidTr="002B71E2">
        <w:trPr>
          <w:trHeight w:hRule="exact" w:val="187"/>
          <w:tblHeader/>
          <w:jc w:val="center"/>
        </w:trPr>
        <w:tc>
          <w:tcPr>
            <w:tcW w:w="2345" w:type="dxa"/>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RAM(VM)</w:t>
            </w:r>
          </w:p>
        </w:tc>
        <w:tc>
          <w:tcPr>
            <w:tcW w:w="2104" w:type="dxa"/>
            <w:shd w:val="clear" w:color="auto" w:fill="auto"/>
          </w:tcPr>
          <w:p w:rsidR="002B71E2" w:rsidRPr="00B3151A" w:rsidRDefault="002B71E2" w:rsidP="00800E18">
            <w:pPr>
              <w:ind w:right="268"/>
              <w:rPr>
                <w:rFonts w:ascii="Times New Roman" w:hAnsi="Times New Roman" w:cs="Times New Roman"/>
                <w:sz w:val="16"/>
                <w:szCs w:val="16"/>
              </w:rPr>
            </w:pPr>
            <w:r w:rsidRPr="00B3151A">
              <w:rPr>
                <w:rFonts w:ascii="Times New Roman" w:hAnsi="Times New Roman" w:cs="Times New Roman"/>
                <w:sz w:val="16"/>
                <w:szCs w:val="16"/>
              </w:rPr>
              <w:t>870, 1740, 613MB</w:t>
            </w:r>
          </w:p>
        </w:tc>
      </w:tr>
      <w:tr w:rsidR="002B71E2" w:rsidRPr="00B3151A" w:rsidTr="002B71E2">
        <w:trPr>
          <w:trHeight w:hRule="exact" w:val="187"/>
          <w:tblHeader/>
          <w:jc w:val="center"/>
        </w:trPr>
        <w:tc>
          <w:tcPr>
            <w:tcW w:w="2345" w:type="dxa"/>
            <w:tcBorders>
              <w:top w:val="single" w:sz="4" w:space="0" w:color="auto"/>
              <w:left w:val="single" w:sz="4" w:space="0" w:color="auto"/>
              <w:bottom w:val="single" w:sz="4" w:space="0" w:color="auto"/>
              <w:right w:val="single" w:sz="4" w:space="0" w:color="auto"/>
            </w:tcBorders>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CPU Core (VM)</w:t>
            </w:r>
          </w:p>
        </w:tc>
        <w:tc>
          <w:tcPr>
            <w:tcW w:w="2104" w:type="dxa"/>
            <w:tcBorders>
              <w:top w:val="single" w:sz="4" w:space="0" w:color="auto"/>
              <w:left w:val="single" w:sz="4" w:space="0" w:color="auto"/>
              <w:bottom w:val="single" w:sz="4" w:space="0" w:color="auto"/>
              <w:right w:val="single" w:sz="4" w:space="0" w:color="auto"/>
            </w:tcBorders>
            <w:shd w:val="clear" w:color="auto" w:fill="auto"/>
          </w:tcPr>
          <w:p w:rsidR="002B71E2" w:rsidRPr="00B3151A" w:rsidRDefault="002B71E2" w:rsidP="00800E18">
            <w:pPr>
              <w:ind w:right="268"/>
              <w:rPr>
                <w:rFonts w:ascii="Times New Roman" w:hAnsi="Times New Roman" w:cs="Times New Roman"/>
                <w:sz w:val="16"/>
                <w:szCs w:val="16"/>
              </w:rPr>
            </w:pPr>
            <w:r w:rsidRPr="00B3151A">
              <w:rPr>
                <w:rFonts w:ascii="Times New Roman" w:hAnsi="Times New Roman" w:cs="Times New Roman"/>
                <w:sz w:val="16"/>
                <w:szCs w:val="16"/>
              </w:rPr>
              <w:t>1</w:t>
            </w:r>
          </w:p>
        </w:tc>
      </w:tr>
      <w:tr w:rsidR="002B71E2" w:rsidRPr="00B3151A" w:rsidTr="002B71E2">
        <w:trPr>
          <w:trHeight w:hRule="exact" w:val="187"/>
          <w:tblHeader/>
          <w:jc w:val="center"/>
        </w:trPr>
        <w:tc>
          <w:tcPr>
            <w:tcW w:w="2345" w:type="dxa"/>
            <w:tcBorders>
              <w:top w:val="single" w:sz="4" w:space="0" w:color="auto"/>
              <w:left w:val="single" w:sz="4" w:space="0" w:color="auto"/>
              <w:bottom w:val="single" w:sz="4" w:space="0" w:color="auto"/>
              <w:right w:val="single" w:sz="4" w:space="0" w:color="auto"/>
            </w:tcBorders>
            <w:shd w:val="clear" w:color="auto" w:fill="auto"/>
          </w:tcPr>
          <w:p w:rsidR="002B71E2" w:rsidRPr="00B3151A" w:rsidRDefault="002B71E2" w:rsidP="00800E18">
            <w:pPr>
              <w:pStyle w:val="ListParagraph"/>
              <w:ind w:left="160" w:right="268"/>
              <w:jc w:val="left"/>
              <w:rPr>
                <w:color w:val="auto"/>
                <w:sz w:val="16"/>
                <w:szCs w:val="16"/>
              </w:rPr>
            </w:pPr>
            <w:r w:rsidRPr="00B3151A">
              <w:rPr>
                <w:color w:val="auto"/>
                <w:sz w:val="16"/>
                <w:szCs w:val="16"/>
              </w:rPr>
              <w:t>Simulation Length</w:t>
            </w:r>
          </w:p>
        </w:tc>
        <w:tc>
          <w:tcPr>
            <w:tcW w:w="2104" w:type="dxa"/>
            <w:tcBorders>
              <w:top w:val="single" w:sz="4" w:space="0" w:color="auto"/>
              <w:left w:val="single" w:sz="4" w:space="0" w:color="auto"/>
              <w:bottom w:val="single" w:sz="4" w:space="0" w:color="auto"/>
              <w:right w:val="single" w:sz="4" w:space="0" w:color="auto"/>
            </w:tcBorders>
            <w:shd w:val="clear" w:color="auto" w:fill="auto"/>
          </w:tcPr>
          <w:p w:rsidR="002B71E2" w:rsidRPr="00B3151A" w:rsidRDefault="002B71E2" w:rsidP="00800E18">
            <w:pPr>
              <w:ind w:right="268"/>
              <w:rPr>
                <w:rFonts w:ascii="Times New Roman" w:hAnsi="Times New Roman" w:cs="Times New Roman"/>
                <w:sz w:val="16"/>
                <w:szCs w:val="16"/>
              </w:rPr>
            </w:pPr>
            <w:r w:rsidRPr="00B3151A">
              <w:rPr>
                <w:rFonts w:ascii="Times New Roman" w:hAnsi="Times New Roman" w:cs="Times New Roman"/>
                <w:sz w:val="16"/>
                <w:szCs w:val="16"/>
              </w:rPr>
              <w:t>10*60*60 seconds (10 hours)</w:t>
            </w:r>
          </w:p>
        </w:tc>
      </w:tr>
    </w:tbl>
    <w:p w:rsidR="00B013DF" w:rsidRDefault="00B013DF" w:rsidP="00D76758">
      <w:pPr>
        <w:ind w:left="720" w:right="268"/>
        <w:jc w:val="both"/>
        <w:rPr>
          <w:i/>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1"/>
      </w:tblGrid>
      <w:tr w:rsidR="00666420" w:rsidRPr="00B3151A" w:rsidTr="00A35B47">
        <w:trPr>
          <w:jc w:val="center"/>
        </w:trPr>
        <w:tc>
          <w:tcPr>
            <w:tcW w:w="0" w:type="auto"/>
          </w:tcPr>
          <w:p w:rsidR="00666420" w:rsidRPr="00B3151A" w:rsidRDefault="00666420" w:rsidP="00D76758">
            <w:pPr>
              <w:ind w:right="268"/>
              <w:jc w:val="both"/>
            </w:pPr>
            <w:bookmarkStart w:id="0" w:name="_GoBack"/>
            <w:bookmarkEnd w:id="0"/>
          </w:p>
        </w:tc>
      </w:tr>
      <w:tr w:rsidR="00666420" w:rsidRPr="00B3151A" w:rsidTr="00A35B47">
        <w:trPr>
          <w:jc w:val="center"/>
        </w:trPr>
        <w:tc>
          <w:tcPr>
            <w:tcW w:w="0" w:type="auto"/>
          </w:tcPr>
          <w:p w:rsidR="00666420" w:rsidRPr="00666420" w:rsidRDefault="00666420" w:rsidP="00A35B47">
            <w:pPr>
              <w:ind w:right="268"/>
              <w:jc w:val="center"/>
              <w:rPr>
                <w:rFonts w:ascii="Times New Roman" w:hAnsi="Times New Roman" w:cs="Times New Roman"/>
                <w:sz w:val="16"/>
                <w:szCs w:val="16"/>
              </w:rPr>
            </w:pPr>
            <w:r w:rsidRPr="00666420">
              <w:rPr>
                <w:rFonts w:ascii="Times New Roman" w:hAnsi="Times New Roman" w:cs="Times New Roman"/>
                <w:sz w:val="16"/>
                <w:szCs w:val="16"/>
                <w:lang w:val="en-IN"/>
              </w:rPr>
              <w:t>Figure-1</w:t>
            </w:r>
            <w:r>
              <w:rPr>
                <w:rFonts w:ascii="Times New Roman" w:hAnsi="Times New Roman" w:cs="Times New Roman"/>
                <w:sz w:val="16"/>
                <w:szCs w:val="16"/>
                <w:lang w:val="en-IN"/>
              </w:rPr>
              <w:t>:</w:t>
            </w:r>
            <w:r w:rsidRPr="00666420">
              <w:rPr>
                <w:rFonts w:ascii="Times New Roman" w:hAnsi="Times New Roman" w:cs="Times New Roman"/>
                <w:sz w:val="16"/>
                <w:szCs w:val="16"/>
                <w:lang w:val="en-IN"/>
              </w:rPr>
              <w:t xml:space="preserve"> Flow chart Representing Proposed Algorithm</w:t>
            </w:r>
          </w:p>
        </w:tc>
      </w:tr>
      <w:tr w:rsidR="00884543" w:rsidRPr="00B3151A" w:rsidTr="00A35B47">
        <w:trPr>
          <w:jc w:val="center"/>
        </w:trPr>
        <w:tc>
          <w:tcPr>
            <w:tcW w:w="0" w:type="auto"/>
          </w:tcPr>
          <w:p w:rsidR="00884543" w:rsidRPr="00B3151A" w:rsidRDefault="00A35B47" w:rsidP="00D76758">
            <w:pPr>
              <w:ind w:right="268"/>
              <w:jc w:val="both"/>
              <w:rPr>
                <w:i/>
              </w:rPr>
            </w:pPr>
            <w:r w:rsidRPr="00B3151A">
              <w:object w:dxaOrig="4064" w:dyaOrig="75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75pt;height:355.5pt" o:ole="">
                  <v:imagedata r:id="rId8" o:title=""/>
                </v:shape>
                <o:OLEObject Type="Embed" ProgID="PBrush" ShapeID="_x0000_i1025" DrawAspect="Content" ObjectID="_1471763799" r:id="rId9"/>
              </w:object>
            </w:r>
          </w:p>
        </w:tc>
      </w:tr>
    </w:tbl>
    <w:p w:rsidR="002E3EB6" w:rsidRPr="00B3151A" w:rsidRDefault="00012FD7" w:rsidP="00012FD7">
      <w:pPr>
        <w:pStyle w:val="Default"/>
        <w:numPr>
          <w:ilvl w:val="0"/>
          <w:numId w:val="9"/>
        </w:numPr>
        <w:ind w:left="540" w:right="268" w:hanging="540"/>
        <w:rPr>
          <w:b/>
          <w:color w:val="auto"/>
          <w:sz w:val="20"/>
          <w:szCs w:val="20"/>
        </w:rPr>
      </w:pPr>
      <w:r w:rsidRPr="00B3151A">
        <w:rPr>
          <w:b/>
          <w:color w:val="auto"/>
          <w:sz w:val="20"/>
          <w:szCs w:val="20"/>
        </w:rPr>
        <w:t>Results &amp; Discussions</w:t>
      </w:r>
    </w:p>
    <w:p w:rsidR="009E301F" w:rsidRPr="00B3151A" w:rsidRDefault="009E301F" w:rsidP="00012FD7">
      <w:pPr>
        <w:ind w:right="268"/>
        <w:jc w:val="both"/>
        <w:rPr>
          <w:rFonts w:ascii="Times New Roman" w:hAnsi="Times New Roman" w:cs="Times New Roman"/>
        </w:rPr>
      </w:pPr>
      <w:r w:rsidRPr="00B3151A">
        <w:rPr>
          <w:rFonts w:ascii="Times New Roman" w:hAnsi="Times New Roman" w:cs="Times New Roman"/>
        </w:rPr>
        <w:t xml:space="preserve">To evaluate the performance three parameters have been observed: Energy Consumption, Number of total SLA Violations and VM category-wise </w:t>
      </w:r>
      <w:r w:rsidR="0076193E">
        <w:rPr>
          <w:rFonts w:ascii="Times New Roman" w:hAnsi="Times New Roman" w:cs="Times New Roman"/>
        </w:rPr>
        <w:t>n</w:t>
      </w:r>
      <w:r w:rsidRPr="00B3151A">
        <w:rPr>
          <w:rFonts w:ascii="Times New Roman" w:hAnsi="Times New Roman" w:cs="Times New Roman"/>
        </w:rPr>
        <w:t>umber of SLA violations. The total energy consumed by datacenter while operated with various approaches has been represented in</w:t>
      </w:r>
      <w:r w:rsidR="00BE6ED2" w:rsidRPr="00B3151A">
        <w:rPr>
          <w:rFonts w:ascii="Times New Roman" w:hAnsi="Times New Roman" w:cs="Times New Roman"/>
        </w:rPr>
        <w:t xml:space="preserve"> graph given </w:t>
      </w:r>
      <w:r w:rsidR="00012FD7" w:rsidRPr="00B3151A">
        <w:rPr>
          <w:rFonts w:ascii="Times New Roman" w:hAnsi="Times New Roman" w:cs="Times New Roman"/>
        </w:rPr>
        <w:t xml:space="preserve">in </w:t>
      </w:r>
      <w:r w:rsidR="002B71E2">
        <w:rPr>
          <w:rFonts w:ascii="Times New Roman" w:hAnsi="Times New Roman" w:cs="Times New Roman"/>
        </w:rPr>
        <w:t>figure</w:t>
      </w:r>
      <w:r w:rsidR="00A35B47">
        <w:rPr>
          <w:rFonts w:ascii="Times New Roman" w:hAnsi="Times New Roman" w:cs="Times New Roman"/>
        </w:rPr>
        <w:t xml:space="preserve"> </w:t>
      </w:r>
      <w:r w:rsidR="002B71E2">
        <w:rPr>
          <w:rFonts w:ascii="Times New Roman" w:hAnsi="Times New Roman" w:cs="Times New Roman"/>
        </w:rPr>
        <w:t>2</w:t>
      </w:r>
      <w:r w:rsidR="00BE6ED2" w:rsidRPr="00B3151A">
        <w:rPr>
          <w:rFonts w:ascii="Times New Roman" w:hAnsi="Times New Roman" w:cs="Times New Roman"/>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4"/>
      </w:tblGrid>
      <w:tr w:rsidR="00A35B47" w:rsidRPr="00B3151A" w:rsidTr="00A35B47">
        <w:tc>
          <w:tcPr>
            <w:tcW w:w="5254" w:type="dxa"/>
          </w:tcPr>
          <w:p w:rsidR="00A35B47" w:rsidRPr="00D262F4" w:rsidRDefault="00A35B47" w:rsidP="00A35B47">
            <w:pPr>
              <w:ind w:left="1170" w:right="268" w:hanging="630"/>
              <w:rPr>
                <w:noProof/>
              </w:rPr>
            </w:pPr>
            <w:r>
              <w:rPr>
                <w:rFonts w:ascii="Times New Roman" w:hAnsi="Times New Roman" w:cs="Times New Roman"/>
                <w:bCs/>
                <w:sz w:val="16"/>
                <w:lang w:val="en-IN"/>
              </w:rPr>
              <w:t>Figure-2:</w:t>
            </w:r>
            <w:r w:rsidRPr="00D918DE">
              <w:rPr>
                <w:rFonts w:ascii="Times New Roman" w:hAnsi="Times New Roman" w:cs="Times New Roman"/>
                <w:bCs/>
                <w:sz w:val="16"/>
                <w:lang w:val="en-IN"/>
              </w:rPr>
              <w:t>Energy Consumption by MM, MMT, RS and Proposed</w:t>
            </w:r>
            <w:r>
              <w:rPr>
                <w:rFonts w:ascii="Times New Roman" w:hAnsi="Times New Roman" w:cs="Times New Roman"/>
                <w:bCs/>
                <w:sz w:val="16"/>
                <w:lang w:val="en-IN"/>
              </w:rPr>
              <w:t xml:space="preserve"> Approach</w:t>
            </w:r>
          </w:p>
        </w:tc>
      </w:tr>
      <w:tr w:rsidR="009E301F" w:rsidRPr="00B3151A" w:rsidTr="00A35B47">
        <w:tc>
          <w:tcPr>
            <w:tcW w:w="5254" w:type="dxa"/>
          </w:tcPr>
          <w:p w:rsidR="009E301F" w:rsidRPr="00B3151A" w:rsidRDefault="0070484B" w:rsidP="00D76758">
            <w:pPr>
              <w:ind w:right="268"/>
              <w:jc w:val="both"/>
              <w:rPr>
                <w:rFonts w:ascii="Times New Roman" w:hAnsi="Times New Roman" w:cs="Times New Roman"/>
                <w:b/>
              </w:rPr>
            </w:pPr>
            <w:r>
              <w:rPr>
                <w:noProof/>
              </w:rPr>
              <w:pict>
                <v:shapetype id="_x0000_t202" coordsize="21600,21600" o:spt="202" path="m,l,21600r21600,l21600,xe">
                  <v:stroke joinstyle="miter"/>
                  <v:path gradientshapeok="t" o:connecttype="rect"/>
                </v:shapetype>
                <v:shape id="_x0000_s1028" type="#_x0000_t202" style="position:absolute;left:0;text-align:left;margin-left:193.55pt;margin-top:99.1pt;width:55.5pt;height:25.6pt;z-index:251660288;mso-height-percent:200;mso-position-horizontal-relative:text;mso-position-vertical-relative:text;mso-height-percent:200;mso-width-relative:margin;mso-height-relative:margin" stroked="f">
                  <v:textbox style="mso-next-textbox:#_x0000_s1028;mso-fit-shape-to-text:t">
                    <w:txbxContent>
                      <w:p w:rsidR="0008047C" w:rsidRPr="0008047C" w:rsidRDefault="0008047C">
                        <w:pPr>
                          <w:rPr>
                            <w:rFonts w:ascii="Arial" w:hAnsi="Arial" w:cs="Arial"/>
                            <w:color w:val="595959" w:themeColor="text1" w:themeTint="A6"/>
                            <w:sz w:val="16"/>
                            <w:szCs w:val="16"/>
                          </w:rPr>
                        </w:pPr>
                        <w:r w:rsidRPr="0008047C">
                          <w:rPr>
                            <w:rFonts w:ascii="Arial" w:hAnsi="Arial" w:cs="Arial"/>
                            <w:color w:val="595959" w:themeColor="text1" w:themeTint="A6"/>
                            <w:sz w:val="16"/>
                            <w:szCs w:val="16"/>
                          </w:rPr>
                          <w:t>Proposed</w:t>
                        </w:r>
                        <w:r>
                          <w:rPr>
                            <w:rFonts w:ascii="Arial" w:hAnsi="Arial" w:cs="Arial"/>
                            <w:color w:val="595959" w:themeColor="text1" w:themeTint="A6"/>
                            <w:sz w:val="16"/>
                            <w:szCs w:val="16"/>
                          </w:rPr>
                          <w:t xml:space="preserve"> </w:t>
                        </w:r>
                        <w:r w:rsidRPr="0008047C">
                          <w:rPr>
                            <w:rFonts w:ascii="Arial" w:hAnsi="Arial" w:cs="Arial"/>
                            <w:color w:val="595959" w:themeColor="text1" w:themeTint="A6"/>
                            <w:sz w:val="16"/>
                            <w:szCs w:val="16"/>
                          </w:rPr>
                          <w:t>Work</w:t>
                        </w:r>
                      </w:p>
                    </w:txbxContent>
                  </v:textbox>
                </v:shape>
              </w:pict>
            </w:r>
            <w:r w:rsidR="009B1F75" w:rsidRPr="00B3151A">
              <w:rPr>
                <w:rFonts w:ascii="Times New Roman" w:hAnsi="Times New Roman" w:cs="Times New Roman"/>
                <w:b/>
                <w:noProof/>
                <w:lang w:val="en-IN" w:eastAsia="en-IN"/>
              </w:rPr>
              <w:drawing>
                <wp:inline distT="0" distB="0" distL="0" distR="0">
                  <wp:extent cx="3221838" cy="2154170"/>
                  <wp:effectExtent l="19050" t="0" r="16662" b="0"/>
                  <wp:docPr id="137" name="Chart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tc>
      </w:tr>
    </w:tbl>
    <w:p w:rsidR="009E301F" w:rsidRPr="00B3151A" w:rsidRDefault="009E301F" w:rsidP="00D918DE">
      <w:pPr>
        <w:pStyle w:val="Default"/>
        <w:ind w:right="268" w:firstLine="346"/>
        <w:jc w:val="both"/>
        <w:rPr>
          <w:color w:val="auto"/>
          <w:sz w:val="20"/>
          <w:szCs w:val="20"/>
        </w:rPr>
      </w:pPr>
      <w:r w:rsidRPr="00B3151A">
        <w:rPr>
          <w:color w:val="auto"/>
          <w:sz w:val="20"/>
          <w:szCs w:val="20"/>
        </w:rPr>
        <w:lastRenderedPageBreak/>
        <w:t>As represented by graph given in figure</w:t>
      </w:r>
      <w:r w:rsidR="00A35B47">
        <w:rPr>
          <w:color w:val="auto"/>
          <w:sz w:val="20"/>
          <w:szCs w:val="20"/>
        </w:rPr>
        <w:t xml:space="preserve"> </w:t>
      </w:r>
      <w:r w:rsidR="0076193E">
        <w:rPr>
          <w:color w:val="auto"/>
          <w:sz w:val="20"/>
          <w:szCs w:val="20"/>
        </w:rPr>
        <w:t>2</w:t>
      </w:r>
      <w:r w:rsidRPr="00B3151A">
        <w:rPr>
          <w:color w:val="auto"/>
          <w:sz w:val="20"/>
          <w:szCs w:val="20"/>
        </w:rPr>
        <w:t>, the proposed scheme consumes least energy than the other approaches for all values of upper utilization except for Minimization of Migration approach</w:t>
      </w:r>
      <w:r w:rsidR="0076193E" w:rsidRPr="0076193E">
        <w:rPr>
          <w:rFonts w:eastAsia="PMingLiU"/>
          <w:color w:val="auto"/>
          <w:sz w:val="20"/>
          <w:szCs w:val="20"/>
          <w:lang w:eastAsia="zh-TW"/>
        </w:rPr>
        <w:t xml:space="preserve"> </w:t>
      </w:r>
      <w:r w:rsidR="0076193E">
        <w:rPr>
          <w:rFonts w:eastAsia="PMingLiU"/>
          <w:color w:val="auto"/>
          <w:sz w:val="20"/>
          <w:szCs w:val="20"/>
          <w:lang w:eastAsia="zh-TW"/>
        </w:rPr>
        <w:t>(</w:t>
      </w:r>
      <w:r w:rsidR="0076193E" w:rsidRPr="0076193E">
        <w:rPr>
          <w:color w:val="auto"/>
          <w:sz w:val="20"/>
          <w:szCs w:val="20"/>
          <w:lang w:val="en-AU"/>
        </w:rPr>
        <w:t>Beloglazov et al., 2012)</w:t>
      </w:r>
      <w:r w:rsidRPr="00B3151A">
        <w:rPr>
          <w:color w:val="auto"/>
          <w:sz w:val="20"/>
          <w:szCs w:val="20"/>
        </w:rPr>
        <w:t xml:space="preserve">. </w:t>
      </w:r>
    </w:p>
    <w:p w:rsidR="009E301F" w:rsidRDefault="009E301F" w:rsidP="00D76758">
      <w:pPr>
        <w:pStyle w:val="Default"/>
        <w:ind w:right="268"/>
        <w:jc w:val="both"/>
        <w:rPr>
          <w:color w:val="auto"/>
          <w:sz w:val="20"/>
          <w:szCs w:val="20"/>
        </w:rPr>
      </w:pPr>
      <w:r w:rsidRPr="00B3151A">
        <w:rPr>
          <w:color w:val="auto"/>
          <w:sz w:val="20"/>
          <w:szCs w:val="20"/>
        </w:rPr>
        <w:t>The observed number of SLA violations occurred has been mentioned in graph given in fig</w:t>
      </w:r>
      <w:r w:rsidR="00A35B47">
        <w:rPr>
          <w:color w:val="auto"/>
          <w:sz w:val="20"/>
          <w:szCs w:val="20"/>
        </w:rPr>
        <w:t xml:space="preserve">ure </w:t>
      </w:r>
      <w:r w:rsidR="002E0F0A" w:rsidRPr="00B3151A">
        <w:rPr>
          <w:color w:val="auto"/>
          <w:sz w:val="20"/>
          <w:szCs w:val="20"/>
        </w:rPr>
        <w:t>3</w:t>
      </w:r>
      <w:r w:rsidRPr="00B3151A">
        <w:rPr>
          <w:color w:val="auto"/>
          <w:sz w:val="20"/>
          <w:szCs w:val="20"/>
        </w:rPr>
        <w:t>.</w:t>
      </w:r>
    </w:p>
    <w:p w:rsidR="00007D7A" w:rsidRPr="00B3151A" w:rsidRDefault="00007D7A" w:rsidP="00D76758">
      <w:pPr>
        <w:pStyle w:val="Default"/>
        <w:ind w:right="268"/>
        <w:jc w:val="both"/>
        <w:rPr>
          <w:color w:val="auto"/>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4"/>
      </w:tblGrid>
      <w:tr w:rsidR="00B0387D" w:rsidRPr="00B3151A" w:rsidTr="00A35B47">
        <w:tc>
          <w:tcPr>
            <w:tcW w:w="5254" w:type="dxa"/>
            <w:vAlign w:val="bottom"/>
          </w:tcPr>
          <w:p w:rsidR="00B0387D" w:rsidRPr="00B3151A" w:rsidRDefault="00B0387D" w:rsidP="00A35B47">
            <w:pPr>
              <w:ind w:left="720" w:right="268" w:hanging="630"/>
              <w:jc w:val="both"/>
              <w:rPr>
                <w:rFonts w:ascii="Times New Roman" w:hAnsi="Times New Roman" w:cs="Times New Roman"/>
                <w:noProof/>
                <w:lang w:val="en-US" w:eastAsia="en-US"/>
              </w:rPr>
            </w:pPr>
            <w:r w:rsidRPr="00A35B47">
              <w:rPr>
                <w:rFonts w:ascii="Times New Roman" w:hAnsi="Times New Roman" w:cs="Times New Roman"/>
                <w:noProof/>
                <w:sz w:val="16"/>
                <w:szCs w:val="16"/>
                <w:lang w:val="en-IN" w:eastAsia="en-US"/>
              </w:rPr>
              <w:t>Figure-3: SLA Violations occurred with MM, MMT, RS and Proposed Approach</w:t>
            </w:r>
          </w:p>
        </w:tc>
      </w:tr>
      <w:tr w:rsidR="009E301F" w:rsidRPr="00B3151A" w:rsidTr="00A35B47">
        <w:tc>
          <w:tcPr>
            <w:tcW w:w="5254" w:type="dxa"/>
            <w:vAlign w:val="bottom"/>
          </w:tcPr>
          <w:p w:rsidR="009E301F" w:rsidRPr="00B3151A" w:rsidRDefault="009E301F" w:rsidP="00D76758">
            <w:pPr>
              <w:ind w:right="268"/>
              <w:jc w:val="both"/>
              <w:rPr>
                <w:rFonts w:ascii="Times New Roman" w:hAnsi="Times New Roman" w:cs="Times New Roman"/>
              </w:rPr>
            </w:pPr>
            <w:r w:rsidRPr="00B3151A">
              <w:rPr>
                <w:rFonts w:ascii="Times New Roman" w:hAnsi="Times New Roman" w:cs="Times New Roman"/>
                <w:noProof/>
                <w:lang w:val="en-IN" w:eastAsia="en-IN"/>
              </w:rPr>
              <w:drawing>
                <wp:inline distT="0" distB="0" distL="0" distR="0">
                  <wp:extent cx="3035347" cy="1746913"/>
                  <wp:effectExtent l="19050" t="0" r="12653" b="5687"/>
                  <wp:docPr id="13" name="Chart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tc>
      </w:tr>
    </w:tbl>
    <w:p w:rsidR="009E301F" w:rsidRPr="00B3151A" w:rsidRDefault="009E301F" w:rsidP="00D76758">
      <w:pPr>
        <w:ind w:right="268" w:firstLine="284"/>
        <w:jc w:val="both"/>
        <w:rPr>
          <w:rFonts w:ascii="Times New Roman" w:hAnsi="Times New Roman" w:cs="Times New Roman"/>
        </w:rPr>
      </w:pPr>
      <w:r w:rsidRPr="00B3151A">
        <w:rPr>
          <w:rFonts w:ascii="Times New Roman" w:hAnsi="Times New Roman" w:cs="Times New Roman"/>
        </w:rPr>
        <w:t>As shown in graph figure</w:t>
      </w:r>
      <w:r w:rsidR="00B0387D">
        <w:rPr>
          <w:rFonts w:ascii="Times New Roman" w:hAnsi="Times New Roman" w:cs="Times New Roman"/>
        </w:rPr>
        <w:t xml:space="preserve"> 3</w:t>
      </w:r>
      <w:r w:rsidRPr="00B3151A">
        <w:rPr>
          <w:rFonts w:ascii="Times New Roman" w:hAnsi="Times New Roman" w:cs="Times New Roman"/>
        </w:rPr>
        <w:t xml:space="preserve">, in most of the cases, number of SLA violations occurred with Minimization of Migration (MM) technique </w:t>
      </w:r>
      <w:r w:rsidR="0076193E">
        <w:rPr>
          <w:rFonts w:ascii="Times New Roman" w:hAnsi="Times New Roman" w:cs="Times New Roman"/>
        </w:rPr>
        <w:t>is</w:t>
      </w:r>
      <w:r w:rsidRPr="00B3151A">
        <w:rPr>
          <w:rFonts w:ascii="Times New Roman" w:hAnsi="Times New Roman" w:cs="Times New Roman"/>
        </w:rPr>
        <w:t xml:space="preserve"> minimum. The number </w:t>
      </w:r>
      <w:r w:rsidR="00A35B47">
        <w:rPr>
          <w:rFonts w:ascii="Times New Roman" w:hAnsi="Times New Roman" w:cs="Times New Roman"/>
        </w:rPr>
        <w:t xml:space="preserve">of </w:t>
      </w:r>
      <w:r w:rsidRPr="00B3151A">
        <w:rPr>
          <w:rFonts w:ascii="Times New Roman" w:hAnsi="Times New Roman" w:cs="Times New Roman"/>
        </w:rPr>
        <w:t>SLA violations occurred with the proposed approach are marginally additional than MM technique but less than other approaches except in case of 0.6 upper utilization threshold value. In this case the purposed approach has minimum number of SLA violations.</w:t>
      </w:r>
    </w:p>
    <w:p w:rsidR="009E301F" w:rsidRPr="00B3151A" w:rsidRDefault="009E301F" w:rsidP="00D76758">
      <w:pPr>
        <w:ind w:right="268" w:firstLine="284"/>
        <w:jc w:val="both"/>
        <w:rPr>
          <w:rFonts w:ascii="Times New Roman" w:hAnsi="Times New Roman" w:cs="Times New Roman"/>
        </w:rPr>
      </w:pPr>
      <w:r w:rsidRPr="00B3151A">
        <w:rPr>
          <w:rFonts w:ascii="Times New Roman" w:hAnsi="Times New Roman" w:cs="Times New Roman"/>
        </w:rPr>
        <w:t xml:space="preserve">The proposed approach demands slightly more energy as well as lead to slightly more SLA violation than Minimization of Migration approach. However, the cost paid in lieu of SLA violations can be reduced by using the proposed approach as it reduces the SLA violations belonging to VM categories for which penalties are higher. The category wise number of SLA violations occurred with our </w:t>
      </w:r>
      <w:r w:rsidR="00B0387D">
        <w:rPr>
          <w:rFonts w:ascii="Times New Roman" w:hAnsi="Times New Roman" w:cs="Times New Roman"/>
        </w:rPr>
        <w:t>approach has been mentioned in t</w:t>
      </w:r>
      <w:r w:rsidRPr="00B3151A">
        <w:rPr>
          <w:rFonts w:ascii="Times New Roman" w:hAnsi="Times New Roman" w:cs="Times New Roman"/>
        </w:rPr>
        <w:t>able</w:t>
      </w:r>
      <w:r w:rsidR="00B0387D">
        <w:rPr>
          <w:rFonts w:ascii="Times New Roman" w:hAnsi="Times New Roman" w:cs="Times New Roman"/>
        </w:rPr>
        <w:t xml:space="preserve"> </w:t>
      </w:r>
      <w:r w:rsidR="002E0F0A" w:rsidRPr="00B3151A">
        <w:rPr>
          <w:rFonts w:ascii="Times New Roman" w:hAnsi="Times New Roman" w:cs="Times New Roman"/>
        </w:rPr>
        <w:t>2</w:t>
      </w:r>
      <w:r w:rsidRPr="00B3151A">
        <w:rPr>
          <w:rFonts w:ascii="Times New Roman" w:hAnsi="Times New Roman" w:cs="Times New Roman"/>
        </w:rPr>
        <w:t xml:space="preserve">. </w:t>
      </w:r>
    </w:p>
    <w:p w:rsidR="009E301F" w:rsidRPr="00A35B47" w:rsidRDefault="009E301F" w:rsidP="002E0F0A">
      <w:pPr>
        <w:ind w:right="268"/>
        <w:jc w:val="center"/>
        <w:rPr>
          <w:rFonts w:ascii="Times New Roman" w:hAnsi="Times New Roman" w:cs="Times New Roman"/>
          <w:sz w:val="16"/>
        </w:rPr>
      </w:pPr>
      <w:r w:rsidRPr="00A35B47">
        <w:rPr>
          <w:rFonts w:ascii="Times New Roman" w:hAnsi="Times New Roman" w:cs="Times New Roman"/>
          <w:sz w:val="16"/>
        </w:rPr>
        <w:t>Table</w:t>
      </w:r>
      <w:r w:rsidR="002E0F0A" w:rsidRPr="00A35B47">
        <w:rPr>
          <w:rFonts w:ascii="Times New Roman" w:hAnsi="Times New Roman" w:cs="Times New Roman"/>
          <w:sz w:val="16"/>
        </w:rPr>
        <w:t xml:space="preserve"> 2</w:t>
      </w:r>
      <w:r w:rsidRPr="00A35B47">
        <w:rPr>
          <w:rFonts w:ascii="Times New Roman" w:hAnsi="Times New Roman" w:cs="Times New Roman"/>
          <w:sz w:val="16"/>
        </w:rPr>
        <w:t xml:space="preserve">: </w:t>
      </w:r>
      <w:r w:rsidR="00A35B47">
        <w:rPr>
          <w:rFonts w:ascii="Times New Roman" w:hAnsi="Times New Roman" w:cs="Times New Roman"/>
          <w:sz w:val="16"/>
        </w:rPr>
        <w:t xml:space="preserve">VM </w:t>
      </w:r>
      <w:r w:rsidRPr="00A35B47">
        <w:rPr>
          <w:rFonts w:ascii="Times New Roman" w:hAnsi="Times New Roman" w:cs="Times New Roman"/>
          <w:sz w:val="16"/>
        </w:rPr>
        <w:t>Category-wise Average SLA violation occurred with the proposed approach.</w:t>
      </w:r>
    </w:p>
    <w:tbl>
      <w:tblPr>
        <w:tblStyle w:val="TableGrid1"/>
        <w:tblW w:w="0" w:type="auto"/>
        <w:jc w:val="center"/>
        <w:tblLook w:val="04A0" w:firstRow="1" w:lastRow="0" w:firstColumn="1" w:lastColumn="0" w:noHBand="0" w:noVBand="1"/>
      </w:tblPr>
      <w:tblGrid>
        <w:gridCol w:w="686"/>
        <w:gridCol w:w="844"/>
        <w:gridCol w:w="844"/>
        <w:gridCol w:w="844"/>
        <w:gridCol w:w="844"/>
        <w:gridCol w:w="844"/>
      </w:tblGrid>
      <w:tr w:rsidR="00B0387D" w:rsidRPr="00B3151A" w:rsidTr="00A35B47">
        <w:trPr>
          <w:jc w:val="center"/>
        </w:trPr>
        <w:tc>
          <w:tcPr>
            <w:tcW w:w="686" w:type="dxa"/>
          </w:tcPr>
          <w:p w:rsidR="00B0387D" w:rsidRDefault="009E301F" w:rsidP="00B0387D">
            <w:pPr>
              <w:autoSpaceDE/>
              <w:autoSpaceDN/>
              <w:adjustRightInd/>
              <w:jc w:val="center"/>
              <w:rPr>
                <w:rFonts w:ascii="Times New Roman" w:hAnsi="Times New Roman" w:cs="Times New Roman"/>
                <w:b/>
                <w:sz w:val="16"/>
                <w:szCs w:val="20"/>
              </w:rPr>
            </w:pPr>
            <w:r w:rsidRPr="00B0387D">
              <w:rPr>
                <w:rFonts w:ascii="Times New Roman" w:hAnsi="Times New Roman" w:cs="Times New Roman"/>
                <w:b/>
                <w:sz w:val="16"/>
                <w:szCs w:val="20"/>
              </w:rPr>
              <w:t>CPU Utiliz</w:t>
            </w:r>
            <w:r w:rsidR="00B0387D">
              <w:rPr>
                <w:rFonts w:ascii="Times New Roman" w:hAnsi="Times New Roman" w:cs="Times New Roman"/>
                <w:b/>
                <w:sz w:val="16"/>
                <w:szCs w:val="20"/>
              </w:rPr>
              <w:t>-</w:t>
            </w:r>
          </w:p>
          <w:p w:rsidR="009E301F" w:rsidRPr="00B0387D" w:rsidRDefault="00B0387D" w:rsidP="00B0387D">
            <w:pPr>
              <w:autoSpaceDE/>
              <w:autoSpaceDN/>
              <w:adjustRightInd/>
              <w:jc w:val="center"/>
              <w:rPr>
                <w:rFonts w:ascii="Times New Roman" w:hAnsi="Times New Roman" w:cs="Times New Roman"/>
                <w:b/>
                <w:sz w:val="16"/>
                <w:szCs w:val="20"/>
              </w:rPr>
            </w:pPr>
            <w:r>
              <w:rPr>
                <w:rFonts w:ascii="Times New Roman" w:hAnsi="Times New Roman" w:cs="Times New Roman"/>
                <w:b/>
                <w:sz w:val="16"/>
                <w:szCs w:val="20"/>
              </w:rPr>
              <w:t>-</w:t>
            </w:r>
            <w:r w:rsidR="009E301F" w:rsidRPr="00B0387D">
              <w:rPr>
                <w:rFonts w:ascii="Times New Roman" w:hAnsi="Times New Roman" w:cs="Times New Roman"/>
                <w:b/>
                <w:sz w:val="16"/>
                <w:szCs w:val="20"/>
              </w:rPr>
              <w:t>ation</w:t>
            </w:r>
          </w:p>
        </w:tc>
        <w:tc>
          <w:tcPr>
            <w:tcW w:w="844" w:type="dxa"/>
          </w:tcPr>
          <w:p w:rsidR="00463EAB" w:rsidRPr="00B0387D" w:rsidRDefault="009E301F" w:rsidP="00B0387D">
            <w:pPr>
              <w:autoSpaceDE/>
              <w:autoSpaceDN/>
              <w:adjustRightInd/>
              <w:jc w:val="center"/>
              <w:rPr>
                <w:rFonts w:ascii="Times New Roman" w:hAnsi="Times New Roman" w:cs="Times New Roman"/>
                <w:b/>
                <w:sz w:val="16"/>
                <w:szCs w:val="20"/>
              </w:rPr>
            </w:pPr>
            <w:r w:rsidRPr="00B0387D">
              <w:rPr>
                <w:rFonts w:ascii="Times New Roman" w:hAnsi="Times New Roman" w:cs="Times New Roman"/>
                <w:b/>
                <w:sz w:val="16"/>
                <w:szCs w:val="20"/>
              </w:rPr>
              <w:t>Cat</w:t>
            </w:r>
            <w:r w:rsidR="00463EAB" w:rsidRPr="00B0387D">
              <w:rPr>
                <w:rFonts w:ascii="Times New Roman" w:hAnsi="Times New Roman" w:cs="Times New Roman"/>
                <w:b/>
                <w:sz w:val="16"/>
                <w:szCs w:val="20"/>
              </w:rPr>
              <w:t>-</w:t>
            </w:r>
          </w:p>
          <w:p w:rsidR="00463EAB" w:rsidRPr="00B0387D" w:rsidRDefault="00463EAB" w:rsidP="00B0387D">
            <w:pPr>
              <w:autoSpaceDE/>
              <w:autoSpaceDN/>
              <w:adjustRightInd/>
              <w:jc w:val="center"/>
              <w:rPr>
                <w:rFonts w:ascii="Times New Roman" w:hAnsi="Times New Roman" w:cs="Times New Roman"/>
                <w:b/>
                <w:sz w:val="16"/>
                <w:szCs w:val="20"/>
              </w:rPr>
            </w:pPr>
            <w:r w:rsidRPr="00B0387D">
              <w:rPr>
                <w:rFonts w:ascii="Times New Roman" w:hAnsi="Times New Roman" w:cs="Times New Roman"/>
                <w:b/>
                <w:sz w:val="16"/>
                <w:szCs w:val="20"/>
              </w:rPr>
              <w:t>-</w:t>
            </w:r>
            <w:r w:rsidR="009E301F" w:rsidRPr="00B0387D">
              <w:rPr>
                <w:rFonts w:ascii="Times New Roman" w:hAnsi="Times New Roman" w:cs="Times New Roman"/>
                <w:b/>
                <w:sz w:val="16"/>
                <w:szCs w:val="20"/>
              </w:rPr>
              <w:t xml:space="preserve">egory </w:t>
            </w:r>
          </w:p>
          <w:p w:rsidR="009E301F" w:rsidRPr="00B0387D" w:rsidRDefault="00463EAB" w:rsidP="00D76758">
            <w:pPr>
              <w:autoSpaceDE/>
              <w:autoSpaceDN/>
              <w:adjustRightInd/>
              <w:ind w:right="268"/>
              <w:jc w:val="center"/>
              <w:rPr>
                <w:rFonts w:ascii="Times New Roman" w:hAnsi="Times New Roman" w:cs="Times New Roman"/>
                <w:b/>
                <w:sz w:val="16"/>
                <w:szCs w:val="20"/>
              </w:rPr>
            </w:pPr>
            <w:r w:rsidRPr="00B0387D">
              <w:rPr>
                <w:rFonts w:ascii="Times New Roman" w:hAnsi="Times New Roman" w:cs="Times New Roman"/>
                <w:b/>
                <w:sz w:val="16"/>
                <w:szCs w:val="20"/>
              </w:rPr>
              <w:t>1</w:t>
            </w:r>
          </w:p>
        </w:tc>
        <w:tc>
          <w:tcPr>
            <w:tcW w:w="844" w:type="dxa"/>
          </w:tcPr>
          <w:p w:rsidR="00463EAB" w:rsidRPr="00B0387D" w:rsidRDefault="009E301F" w:rsidP="00B0387D">
            <w:pPr>
              <w:autoSpaceDE/>
              <w:autoSpaceDN/>
              <w:adjustRightInd/>
              <w:ind w:right="43"/>
              <w:jc w:val="center"/>
              <w:rPr>
                <w:rFonts w:ascii="Times New Roman" w:hAnsi="Times New Roman" w:cs="Times New Roman"/>
                <w:b/>
                <w:sz w:val="16"/>
                <w:szCs w:val="20"/>
              </w:rPr>
            </w:pPr>
            <w:r w:rsidRPr="00B0387D">
              <w:rPr>
                <w:rFonts w:ascii="Times New Roman" w:hAnsi="Times New Roman" w:cs="Times New Roman"/>
                <w:b/>
                <w:sz w:val="16"/>
                <w:szCs w:val="20"/>
              </w:rPr>
              <w:t>Cat</w:t>
            </w:r>
            <w:r w:rsidR="00463EAB" w:rsidRPr="00B0387D">
              <w:rPr>
                <w:rFonts w:ascii="Times New Roman" w:hAnsi="Times New Roman" w:cs="Times New Roman"/>
                <w:b/>
                <w:sz w:val="16"/>
                <w:szCs w:val="20"/>
              </w:rPr>
              <w:t>-</w:t>
            </w:r>
          </w:p>
          <w:p w:rsidR="00463EAB" w:rsidRPr="00B0387D" w:rsidRDefault="00463EAB" w:rsidP="00B0387D">
            <w:pPr>
              <w:autoSpaceDE/>
              <w:autoSpaceDN/>
              <w:adjustRightInd/>
              <w:ind w:right="43"/>
              <w:jc w:val="center"/>
              <w:rPr>
                <w:rFonts w:ascii="Times New Roman" w:hAnsi="Times New Roman" w:cs="Times New Roman"/>
                <w:b/>
                <w:sz w:val="16"/>
                <w:szCs w:val="20"/>
              </w:rPr>
            </w:pPr>
            <w:r w:rsidRPr="00B0387D">
              <w:rPr>
                <w:rFonts w:ascii="Times New Roman" w:hAnsi="Times New Roman" w:cs="Times New Roman"/>
                <w:b/>
                <w:sz w:val="16"/>
                <w:szCs w:val="20"/>
              </w:rPr>
              <w:t>-</w:t>
            </w:r>
            <w:r w:rsidR="009E301F" w:rsidRPr="00B0387D">
              <w:rPr>
                <w:rFonts w:ascii="Times New Roman" w:hAnsi="Times New Roman" w:cs="Times New Roman"/>
                <w:b/>
                <w:sz w:val="16"/>
                <w:szCs w:val="20"/>
              </w:rPr>
              <w:t xml:space="preserve">egory </w:t>
            </w:r>
          </w:p>
          <w:p w:rsidR="009E301F" w:rsidRPr="00B0387D" w:rsidRDefault="00463EAB" w:rsidP="00B0387D">
            <w:pPr>
              <w:autoSpaceDE/>
              <w:autoSpaceDN/>
              <w:adjustRightInd/>
              <w:ind w:right="43"/>
              <w:jc w:val="center"/>
              <w:rPr>
                <w:rFonts w:ascii="Times New Roman" w:hAnsi="Times New Roman" w:cs="Times New Roman"/>
                <w:b/>
                <w:sz w:val="16"/>
                <w:szCs w:val="20"/>
              </w:rPr>
            </w:pPr>
            <w:r w:rsidRPr="00B0387D">
              <w:rPr>
                <w:rFonts w:ascii="Times New Roman" w:hAnsi="Times New Roman" w:cs="Times New Roman"/>
                <w:b/>
                <w:sz w:val="16"/>
                <w:szCs w:val="20"/>
              </w:rPr>
              <w:t>2</w:t>
            </w:r>
          </w:p>
        </w:tc>
        <w:tc>
          <w:tcPr>
            <w:tcW w:w="844" w:type="dxa"/>
          </w:tcPr>
          <w:p w:rsidR="00463EAB" w:rsidRPr="00B0387D" w:rsidRDefault="009E301F" w:rsidP="00B0387D">
            <w:pPr>
              <w:autoSpaceDE/>
              <w:autoSpaceDN/>
              <w:adjustRightInd/>
              <w:ind w:left="-1" w:right="-76"/>
              <w:jc w:val="center"/>
              <w:rPr>
                <w:rFonts w:ascii="Times New Roman" w:hAnsi="Times New Roman" w:cs="Times New Roman"/>
                <w:b/>
                <w:sz w:val="16"/>
                <w:szCs w:val="20"/>
              </w:rPr>
            </w:pPr>
            <w:r w:rsidRPr="00B0387D">
              <w:rPr>
                <w:rFonts w:ascii="Times New Roman" w:hAnsi="Times New Roman" w:cs="Times New Roman"/>
                <w:b/>
                <w:sz w:val="16"/>
                <w:szCs w:val="20"/>
              </w:rPr>
              <w:t>Cat</w:t>
            </w:r>
            <w:r w:rsidR="00463EAB" w:rsidRPr="00B0387D">
              <w:rPr>
                <w:rFonts w:ascii="Times New Roman" w:hAnsi="Times New Roman" w:cs="Times New Roman"/>
                <w:b/>
                <w:sz w:val="16"/>
                <w:szCs w:val="20"/>
              </w:rPr>
              <w:t>-</w:t>
            </w:r>
          </w:p>
          <w:p w:rsidR="00463EAB" w:rsidRPr="00B0387D" w:rsidRDefault="00463EAB" w:rsidP="00B0387D">
            <w:pPr>
              <w:autoSpaceDE/>
              <w:autoSpaceDN/>
              <w:adjustRightInd/>
              <w:ind w:left="-1" w:right="-76"/>
              <w:jc w:val="center"/>
              <w:rPr>
                <w:rFonts w:ascii="Times New Roman" w:hAnsi="Times New Roman" w:cs="Times New Roman"/>
                <w:b/>
                <w:sz w:val="16"/>
                <w:szCs w:val="20"/>
              </w:rPr>
            </w:pPr>
            <w:r w:rsidRPr="00B0387D">
              <w:rPr>
                <w:rFonts w:ascii="Times New Roman" w:hAnsi="Times New Roman" w:cs="Times New Roman"/>
                <w:b/>
                <w:sz w:val="16"/>
                <w:szCs w:val="20"/>
              </w:rPr>
              <w:t>-</w:t>
            </w:r>
            <w:r w:rsidR="009E301F" w:rsidRPr="00B0387D">
              <w:rPr>
                <w:rFonts w:ascii="Times New Roman" w:hAnsi="Times New Roman" w:cs="Times New Roman"/>
                <w:b/>
                <w:sz w:val="16"/>
                <w:szCs w:val="20"/>
              </w:rPr>
              <w:t>egory</w:t>
            </w:r>
          </w:p>
          <w:p w:rsidR="009E301F" w:rsidRPr="00B0387D" w:rsidRDefault="00463EAB" w:rsidP="00B0387D">
            <w:pPr>
              <w:autoSpaceDE/>
              <w:autoSpaceDN/>
              <w:adjustRightInd/>
              <w:ind w:left="-1" w:right="-76"/>
              <w:jc w:val="center"/>
              <w:rPr>
                <w:rFonts w:ascii="Times New Roman" w:hAnsi="Times New Roman" w:cs="Times New Roman"/>
                <w:b/>
                <w:sz w:val="16"/>
                <w:szCs w:val="20"/>
              </w:rPr>
            </w:pPr>
            <w:r w:rsidRPr="00B0387D">
              <w:rPr>
                <w:rFonts w:ascii="Times New Roman" w:hAnsi="Times New Roman" w:cs="Times New Roman"/>
                <w:b/>
                <w:sz w:val="16"/>
                <w:szCs w:val="20"/>
              </w:rPr>
              <w:t>3</w:t>
            </w:r>
          </w:p>
        </w:tc>
        <w:tc>
          <w:tcPr>
            <w:tcW w:w="844" w:type="dxa"/>
          </w:tcPr>
          <w:p w:rsidR="00463EAB" w:rsidRPr="00B0387D" w:rsidRDefault="009E301F" w:rsidP="00B0387D">
            <w:pPr>
              <w:autoSpaceDE/>
              <w:autoSpaceDN/>
              <w:adjustRightInd/>
              <w:ind w:right="53"/>
              <w:jc w:val="center"/>
              <w:rPr>
                <w:rFonts w:ascii="Times New Roman" w:hAnsi="Times New Roman" w:cs="Times New Roman"/>
                <w:b/>
                <w:sz w:val="16"/>
                <w:szCs w:val="20"/>
              </w:rPr>
            </w:pPr>
            <w:r w:rsidRPr="00B0387D">
              <w:rPr>
                <w:rFonts w:ascii="Times New Roman" w:hAnsi="Times New Roman" w:cs="Times New Roman"/>
                <w:b/>
                <w:sz w:val="16"/>
                <w:szCs w:val="20"/>
              </w:rPr>
              <w:t>Cat</w:t>
            </w:r>
            <w:r w:rsidR="00463EAB" w:rsidRPr="00B0387D">
              <w:rPr>
                <w:rFonts w:ascii="Times New Roman" w:hAnsi="Times New Roman" w:cs="Times New Roman"/>
                <w:b/>
                <w:sz w:val="16"/>
                <w:szCs w:val="20"/>
              </w:rPr>
              <w:t>-</w:t>
            </w:r>
          </w:p>
          <w:p w:rsidR="00463EAB" w:rsidRPr="00B0387D" w:rsidRDefault="00463EAB" w:rsidP="00B0387D">
            <w:pPr>
              <w:autoSpaceDE/>
              <w:autoSpaceDN/>
              <w:adjustRightInd/>
              <w:ind w:right="53"/>
              <w:jc w:val="center"/>
              <w:rPr>
                <w:rFonts w:ascii="Times New Roman" w:hAnsi="Times New Roman" w:cs="Times New Roman"/>
                <w:b/>
                <w:sz w:val="16"/>
                <w:szCs w:val="20"/>
              </w:rPr>
            </w:pPr>
            <w:r w:rsidRPr="00B0387D">
              <w:rPr>
                <w:rFonts w:ascii="Times New Roman" w:hAnsi="Times New Roman" w:cs="Times New Roman"/>
                <w:b/>
                <w:sz w:val="16"/>
                <w:szCs w:val="20"/>
              </w:rPr>
              <w:t>-</w:t>
            </w:r>
            <w:r w:rsidR="009E301F" w:rsidRPr="00B0387D">
              <w:rPr>
                <w:rFonts w:ascii="Times New Roman" w:hAnsi="Times New Roman" w:cs="Times New Roman"/>
                <w:b/>
                <w:sz w:val="16"/>
                <w:szCs w:val="20"/>
              </w:rPr>
              <w:t xml:space="preserve">egory </w:t>
            </w:r>
          </w:p>
          <w:p w:rsidR="009E301F" w:rsidRPr="00B0387D" w:rsidRDefault="00463EAB" w:rsidP="00B0387D">
            <w:pPr>
              <w:autoSpaceDE/>
              <w:autoSpaceDN/>
              <w:adjustRightInd/>
              <w:ind w:right="53"/>
              <w:jc w:val="center"/>
              <w:rPr>
                <w:rFonts w:ascii="Times New Roman" w:hAnsi="Times New Roman" w:cs="Times New Roman"/>
                <w:b/>
                <w:sz w:val="16"/>
                <w:szCs w:val="20"/>
              </w:rPr>
            </w:pPr>
            <w:r w:rsidRPr="00B0387D">
              <w:rPr>
                <w:rFonts w:ascii="Times New Roman" w:hAnsi="Times New Roman" w:cs="Times New Roman"/>
                <w:b/>
                <w:sz w:val="16"/>
                <w:szCs w:val="20"/>
              </w:rPr>
              <w:t>4</w:t>
            </w:r>
          </w:p>
        </w:tc>
        <w:tc>
          <w:tcPr>
            <w:tcW w:w="844" w:type="dxa"/>
          </w:tcPr>
          <w:p w:rsidR="00463EAB" w:rsidRPr="00B0387D" w:rsidRDefault="009E301F" w:rsidP="00B0387D">
            <w:pPr>
              <w:autoSpaceDE/>
              <w:autoSpaceDN/>
              <w:adjustRightInd/>
              <w:ind w:right="105"/>
              <w:jc w:val="center"/>
              <w:rPr>
                <w:rFonts w:ascii="Times New Roman" w:hAnsi="Times New Roman" w:cs="Times New Roman"/>
                <w:b/>
                <w:sz w:val="16"/>
                <w:szCs w:val="20"/>
              </w:rPr>
            </w:pPr>
            <w:r w:rsidRPr="00B0387D">
              <w:rPr>
                <w:rFonts w:ascii="Times New Roman" w:hAnsi="Times New Roman" w:cs="Times New Roman"/>
                <w:b/>
                <w:sz w:val="16"/>
                <w:szCs w:val="20"/>
              </w:rPr>
              <w:t>Cat</w:t>
            </w:r>
            <w:r w:rsidR="00463EAB" w:rsidRPr="00B0387D">
              <w:rPr>
                <w:rFonts w:ascii="Times New Roman" w:hAnsi="Times New Roman" w:cs="Times New Roman"/>
                <w:b/>
                <w:sz w:val="16"/>
                <w:szCs w:val="20"/>
              </w:rPr>
              <w:t>-</w:t>
            </w:r>
          </w:p>
          <w:p w:rsidR="00463EAB" w:rsidRPr="00B0387D" w:rsidRDefault="00463EAB" w:rsidP="00B0387D">
            <w:pPr>
              <w:autoSpaceDE/>
              <w:autoSpaceDN/>
              <w:adjustRightInd/>
              <w:ind w:right="105"/>
              <w:jc w:val="center"/>
              <w:rPr>
                <w:rFonts w:ascii="Times New Roman" w:hAnsi="Times New Roman" w:cs="Times New Roman"/>
                <w:b/>
                <w:sz w:val="16"/>
                <w:szCs w:val="20"/>
              </w:rPr>
            </w:pPr>
            <w:r w:rsidRPr="00B0387D">
              <w:rPr>
                <w:rFonts w:ascii="Times New Roman" w:hAnsi="Times New Roman" w:cs="Times New Roman"/>
                <w:b/>
                <w:sz w:val="16"/>
                <w:szCs w:val="20"/>
              </w:rPr>
              <w:t>-</w:t>
            </w:r>
            <w:r w:rsidR="009E301F" w:rsidRPr="00B0387D">
              <w:rPr>
                <w:rFonts w:ascii="Times New Roman" w:hAnsi="Times New Roman" w:cs="Times New Roman"/>
                <w:b/>
                <w:sz w:val="16"/>
                <w:szCs w:val="20"/>
              </w:rPr>
              <w:t xml:space="preserve">egory </w:t>
            </w:r>
          </w:p>
          <w:p w:rsidR="009E301F" w:rsidRPr="00B0387D" w:rsidRDefault="00463EAB" w:rsidP="00B0387D">
            <w:pPr>
              <w:autoSpaceDE/>
              <w:autoSpaceDN/>
              <w:adjustRightInd/>
              <w:ind w:right="105"/>
              <w:jc w:val="center"/>
              <w:rPr>
                <w:rFonts w:ascii="Times New Roman" w:hAnsi="Times New Roman" w:cs="Times New Roman"/>
                <w:b/>
                <w:sz w:val="16"/>
                <w:szCs w:val="20"/>
              </w:rPr>
            </w:pPr>
            <w:r w:rsidRPr="00B0387D">
              <w:rPr>
                <w:rFonts w:ascii="Times New Roman" w:hAnsi="Times New Roman" w:cs="Times New Roman"/>
                <w:b/>
                <w:sz w:val="16"/>
                <w:szCs w:val="20"/>
              </w:rPr>
              <w:t>5</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32.27</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30.06</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29.77</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25.31</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23.93</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0.9</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20.04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19.27</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18.34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13.88</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11.98</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0.8</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16.68</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15.79</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16.55</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9.85</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7.44</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0.7</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13.01</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13.23</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11.39</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8.65</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7.30</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0.6</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12.76</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12.54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12.86</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6.64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6.50</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0.5</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18.93</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18.26</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15.17</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10.24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8.98</w:t>
            </w:r>
          </w:p>
        </w:tc>
      </w:tr>
      <w:tr w:rsidR="00B0387D" w:rsidRPr="00B3151A" w:rsidTr="00A35B47">
        <w:trPr>
          <w:jc w:val="center"/>
        </w:trPr>
        <w:tc>
          <w:tcPr>
            <w:tcW w:w="686"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0.4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17.64</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19.78</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16.93</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5.93</w:t>
            </w:r>
          </w:p>
        </w:tc>
        <w:tc>
          <w:tcPr>
            <w:tcW w:w="844" w:type="dxa"/>
          </w:tcPr>
          <w:p w:rsidR="009E301F" w:rsidRPr="00B3151A" w:rsidRDefault="009E301F" w:rsidP="00B0387D">
            <w:pPr>
              <w:autoSpaceDE/>
              <w:autoSpaceDN/>
              <w:adjustRightInd/>
              <w:ind w:right="268"/>
              <w:jc w:val="right"/>
              <w:rPr>
                <w:rFonts w:ascii="Times New Roman" w:hAnsi="Times New Roman" w:cs="Times New Roman"/>
                <w:sz w:val="16"/>
                <w:szCs w:val="20"/>
              </w:rPr>
            </w:pPr>
            <w:r w:rsidRPr="00B3151A">
              <w:rPr>
                <w:rFonts w:ascii="Times New Roman" w:hAnsi="Times New Roman" w:cs="Times New Roman"/>
                <w:sz w:val="16"/>
                <w:szCs w:val="20"/>
              </w:rPr>
              <w:t>7.03</w:t>
            </w:r>
          </w:p>
        </w:tc>
      </w:tr>
    </w:tbl>
    <w:p w:rsidR="009E301F" w:rsidRPr="00B3151A" w:rsidRDefault="004C1467" w:rsidP="004C1467">
      <w:pPr>
        <w:pStyle w:val="Default"/>
        <w:numPr>
          <w:ilvl w:val="0"/>
          <w:numId w:val="9"/>
        </w:numPr>
        <w:ind w:left="540" w:right="268" w:hanging="540"/>
        <w:jc w:val="both"/>
        <w:rPr>
          <w:b/>
          <w:color w:val="auto"/>
          <w:sz w:val="20"/>
          <w:szCs w:val="20"/>
        </w:rPr>
      </w:pPr>
      <w:r w:rsidRPr="00B3151A">
        <w:rPr>
          <w:b/>
          <w:color w:val="auto"/>
          <w:sz w:val="20"/>
          <w:szCs w:val="20"/>
        </w:rPr>
        <w:t xml:space="preserve">Conclusion and </w:t>
      </w:r>
      <w:r w:rsidR="00B0387D">
        <w:rPr>
          <w:b/>
          <w:color w:val="auto"/>
          <w:sz w:val="20"/>
          <w:szCs w:val="20"/>
        </w:rPr>
        <w:t>Future Work</w:t>
      </w:r>
    </w:p>
    <w:p w:rsidR="009E301F" w:rsidRPr="00B3151A" w:rsidRDefault="00463EAB" w:rsidP="004C1467">
      <w:pPr>
        <w:ind w:right="268"/>
        <w:jc w:val="both"/>
      </w:pPr>
      <w:r w:rsidRPr="00B3151A">
        <w:t>In this work a new approach has been purposed</w:t>
      </w:r>
      <w:r w:rsidR="000476BC" w:rsidRPr="00B3151A">
        <w:t xml:space="preserve"> to select Virtual machine</w:t>
      </w:r>
      <w:r w:rsidR="00B0387D">
        <w:t>s</w:t>
      </w:r>
      <w:r w:rsidR="000476BC" w:rsidRPr="00B3151A">
        <w:t xml:space="preserve"> from overloaded hosts of cloud data center, for migration. </w:t>
      </w:r>
      <w:r w:rsidRPr="00B3151A">
        <w:t xml:space="preserve"> </w:t>
      </w:r>
      <w:r w:rsidR="009E301F" w:rsidRPr="00B3151A">
        <w:t>The proposed approach prefers to migrate the VMs that belong to the higher category</w:t>
      </w:r>
      <w:r w:rsidR="00B0387D">
        <w:t>,</w:t>
      </w:r>
      <w:r w:rsidR="009E301F" w:rsidRPr="00B3151A">
        <w:t xml:space="preserve"> so that the resources may be allocated to these VMs to avoid costly penalties for SLA violations. Our approach set</w:t>
      </w:r>
      <w:r w:rsidR="000476BC" w:rsidRPr="00B3151A">
        <w:t>s</w:t>
      </w:r>
      <w:r w:rsidR="009E301F" w:rsidRPr="00B3151A">
        <w:t xml:space="preserve"> a trade-off between the cost paid for consumed energy and the cost paid in lieu of SLA violations. This approach has been simulated in CloudSim. During the simulation it has </w:t>
      </w:r>
      <w:r w:rsidR="009E301F" w:rsidRPr="00B3151A">
        <w:lastRenderedPageBreak/>
        <w:t xml:space="preserve">been observed that the proposed approach demands slightly more power (as 8.3% additional power in case of 70% upper utilization) and lead to slightly more SLA violations than minimization of migration approach. Although performance of proposed approach is comparatively degraded than Minimization of Migration approach, yet the cost paid in lieu of SLA violations can be reduced by using the purposed approach as it reduces the SLA violations belonging to VM categories for which SLA penalty rates are high. </w:t>
      </w:r>
    </w:p>
    <w:p w:rsidR="009E301F" w:rsidRPr="00B3151A" w:rsidRDefault="009E301F" w:rsidP="00D76758">
      <w:pPr>
        <w:ind w:right="268" w:firstLine="346"/>
        <w:jc w:val="both"/>
      </w:pPr>
      <w:r w:rsidRPr="00B3151A">
        <w:t>In this work</w:t>
      </w:r>
      <w:r w:rsidR="00A35B47">
        <w:t>,</w:t>
      </w:r>
      <w:r w:rsidRPr="00B3151A">
        <w:t xml:space="preserve"> we have only considered SLA violations in terms of processing requirements (Million Instruction Per Second). In future new approaches can also be developed by considering SLA violations on other parameters such as RAM and UP-Time etc.</w:t>
      </w:r>
    </w:p>
    <w:p w:rsidR="008B68DF" w:rsidRPr="00B3151A" w:rsidRDefault="008B68DF" w:rsidP="00D76758">
      <w:pPr>
        <w:ind w:right="268"/>
        <w:jc w:val="both"/>
        <w:rPr>
          <w:rFonts w:ascii="Times New Roman" w:hAnsi="Times New Roman" w:cs="Times New Roman"/>
        </w:rPr>
      </w:pPr>
    </w:p>
    <w:p w:rsidR="00CD7BB8" w:rsidRPr="00B3151A" w:rsidRDefault="008B68DF" w:rsidP="00D76758">
      <w:pPr>
        <w:ind w:right="268"/>
        <w:jc w:val="both"/>
        <w:rPr>
          <w:rFonts w:ascii="Times New Roman" w:hAnsi="Times New Roman" w:cs="Times New Roman"/>
        </w:rPr>
      </w:pPr>
      <w:r w:rsidRPr="00B3151A">
        <w:rPr>
          <w:rFonts w:ascii="Times New Roman" w:hAnsi="Times New Roman" w:cs="Times New Roman"/>
        </w:rPr>
        <w:t>REFERENCES</w:t>
      </w:r>
    </w:p>
    <w:p w:rsidR="00EC5964" w:rsidRPr="00B3151A" w:rsidRDefault="004F3CB9"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Beloglazov, A., Abawajy, J., &amp; Buyya, R. (2012). Energy-aware resource allocation heuristics for efficient management of data centers for cloud computing.</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Future Generation Computer Systems</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28</w:t>
      </w:r>
      <w:r w:rsidRPr="00B3151A">
        <w:rPr>
          <w:rFonts w:ascii="Times New Roman" w:hAnsi="Times New Roman" w:cs="Times New Roman"/>
          <w:sz w:val="16"/>
          <w:szCs w:val="16"/>
          <w:shd w:val="clear" w:color="auto" w:fill="FFFFFF"/>
        </w:rPr>
        <w:t>(5), 755-768.</w:t>
      </w:r>
    </w:p>
    <w:p w:rsidR="00EC5964" w:rsidRDefault="0031789D" w:rsidP="00D76758">
      <w:pPr>
        <w:ind w:left="720" w:right="268" w:hanging="720"/>
        <w:jc w:val="both"/>
        <w:rPr>
          <w:rFonts w:ascii="Times New Roman" w:hAnsi="Times New Roman" w:cs="Times New Roman"/>
          <w:sz w:val="16"/>
          <w:szCs w:val="16"/>
          <w:shd w:val="clear" w:color="auto" w:fill="FFFFFF"/>
        </w:rPr>
      </w:pPr>
      <w:r w:rsidRPr="0031789D">
        <w:rPr>
          <w:rFonts w:ascii="Times New Roman" w:hAnsi="Times New Roman" w:cs="Times New Roman"/>
          <w:sz w:val="16"/>
          <w:szCs w:val="16"/>
          <w:shd w:val="clear" w:color="auto" w:fill="FFFFFF"/>
        </w:rPr>
        <w:t>Bogatin, D. (2006). Google CEO's new paradigm:'cloud computing and advertising go hand-in-hand'. </w:t>
      </w:r>
      <w:r w:rsidRPr="0031789D">
        <w:rPr>
          <w:rFonts w:ascii="Times New Roman" w:hAnsi="Times New Roman" w:cs="Times New Roman"/>
          <w:i/>
          <w:iCs/>
          <w:sz w:val="16"/>
          <w:szCs w:val="16"/>
          <w:shd w:val="clear" w:color="auto" w:fill="FFFFFF"/>
        </w:rPr>
        <w:t>ZDNet.[Online]. Available: http://blogs. zdnet. com/micromarkets</w:t>
      </w:r>
      <w:r w:rsidRPr="0031789D">
        <w:rPr>
          <w:rFonts w:ascii="Times New Roman" w:hAnsi="Times New Roman" w:cs="Times New Roman"/>
          <w:sz w:val="16"/>
          <w:szCs w:val="16"/>
          <w:shd w:val="clear" w:color="auto" w:fill="FFFFFF"/>
        </w:rPr>
        <w:t>.</w:t>
      </w:r>
      <w:r>
        <w:rPr>
          <w:rFonts w:ascii="Times New Roman" w:hAnsi="Times New Roman" w:cs="Times New Roman"/>
          <w:sz w:val="16"/>
          <w:szCs w:val="16"/>
          <w:shd w:val="clear" w:color="auto" w:fill="FFFFFF"/>
        </w:rPr>
        <w:t xml:space="preserve"> (accessed January 12, 2014)</w:t>
      </w:r>
    </w:p>
    <w:p w:rsidR="0076193E" w:rsidRPr="00B3151A" w:rsidRDefault="0076193E" w:rsidP="00D76758">
      <w:pPr>
        <w:ind w:left="720" w:right="268" w:hanging="720"/>
        <w:jc w:val="both"/>
        <w:rPr>
          <w:rFonts w:ascii="Times New Roman" w:hAnsi="Times New Roman" w:cs="Times New Roman"/>
          <w:sz w:val="16"/>
          <w:szCs w:val="16"/>
          <w:shd w:val="clear" w:color="auto" w:fill="FFFFFF"/>
        </w:rPr>
      </w:pPr>
      <w:r w:rsidRPr="0076193E">
        <w:rPr>
          <w:rFonts w:ascii="Times New Roman" w:hAnsi="Times New Roman" w:cs="Times New Roman"/>
          <w:sz w:val="16"/>
          <w:szCs w:val="16"/>
          <w:shd w:val="clear" w:color="auto" w:fill="FFFFFF"/>
        </w:rPr>
        <w:t>Calheiros, R. N., Ranjan, R., Beloglazov, A., De Rose, C. A., &amp; Buyya, R. (2011). CloudSim: a toolkit for modeling and simulation of cloud computing environments and evaluation of resource provisioning algorithms. </w:t>
      </w:r>
      <w:r w:rsidRPr="0076193E">
        <w:rPr>
          <w:rFonts w:ascii="Times New Roman" w:hAnsi="Times New Roman" w:cs="Times New Roman"/>
          <w:i/>
          <w:iCs/>
          <w:sz w:val="16"/>
          <w:szCs w:val="16"/>
          <w:shd w:val="clear" w:color="auto" w:fill="FFFFFF"/>
        </w:rPr>
        <w:t>Software: Practice and Experience</w:t>
      </w:r>
      <w:r w:rsidRPr="0076193E">
        <w:rPr>
          <w:rFonts w:ascii="Times New Roman" w:hAnsi="Times New Roman" w:cs="Times New Roman"/>
          <w:sz w:val="16"/>
          <w:szCs w:val="16"/>
          <w:shd w:val="clear" w:color="auto" w:fill="FFFFFF"/>
        </w:rPr>
        <w:t>, </w:t>
      </w:r>
      <w:r w:rsidRPr="0076193E">
        <w:rPr>
          <w:rFonts w:ascii="Times New Roman" w:hAnsi="Times New Roman" w:cs="Times New Roman"/>
          <w:i/>
          <w:iCs/>
          <w:sz w:val="16"/>
          <w:szCs w:val="16"/>
          <w:shd w:val="clear" w:color="auto" w:fill="FFFFFF"/>
        </w:rPr>
        <w:t>41</w:t>
      </w:r>
      <w:r w:rsidRPr="0076193E">
        <w:rPr>
          <w:rFonts w:ascii="Times New Roman" w:hAnsi="Times New Roman" w:cs="Times New Roman"/>
          <w:sz w:val="16"/>
          <w:szCs w:val="16"/>
          <w:shd w:val="clear" w:color="auto" w:fill="FFFFFF"/>
        </w:rPr>
        <w:t>(1), 23-50.</w:t>
      </w:r>
    </w:p>
    <w:p w:rsidR="00EC5964" w:rsidRDefault="00264017"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Dharwar, D., Bhat, S. S., Srinivasan, V., Sarma, D., &amp; Banerjee, P. K. (2012, October). Approaches towards energy-efficiency in the cloud for emerging markets. Paper presented at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Cloud Computing in Emerging Markets (CCEM), 2012 IEEE International Conference on</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sz w:val="16"/>
          <w:szCs w:val="16"/>
          <w:shd w:val="clear" w:color="auto" w:fill="FFFFFF"/>
        </w:rPr>
        <w:t>(pp. 1-6).</w:t>
      </w:r>
    </w:p>
    <w:p w:rsidR="00572D3C" w:rsidRDefault="00572D3C"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Ferreto, T. C., Netto, M. A., Calheiros, R. N., &amp; De Rose, C. A. (2011). Server consolidation with migration control for virtualized data centers.</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Future Generation Computer Systems</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27</w:t>
      </w:r>
      <w:r w:rsidRPr="00B3151A">
        <w:rPr>
          <w:rFonts w:ascii="Times New Roman" w:hAnsi="Times New Roman" w:cs="Times New Roman"/>
          <w:sz w:val="16"/>
          <w:szCs w:val="16"/>
          <w:shd w:val="clear" w:color="auto" w:fill="FFFFFF"/>
        </w:rPr>
        <w:t>(8), 1027-1034.</w:t>
      </w:r>
    </w:p>
    <w:p w:rsidR="00572D3C" w:rsidRDefault="00572D3C" w:rsidP="00D76758">
      <w:pPr>
        <w:ind w:left="720" w:right="268" w:hanging="720"/>
        <w:jc w:val="both"/>
        <w:rPr>
          <w:rFonts w:ascii="Times New Roman" w:hAnsi="Times New Roman" w:cs="Times New Roman"/>
          <w:sz w:val="16"/>
          <w:szCs w:val="16"/>
          <w:shd w:val="clear" w:color="auto" w:fill="FFFFFF"/>
        </w:rPr>
      </w:pPr>
      <w:r w:rsidRPr="00B3151A">
        <w:rPr>
          <w:sz w:val="16"/>
          <w:szCs w:val="16"/>
          <w:shd w:val="clear" w:color="auto" w:fill="FFFFFF"/>
        </w:rPr>
        <w:t xml:space="preserve">Marzolla, M., Babaoglu, O., &amp; Panzieri, F. (2011, June). Server consolidation in clouds through gossiping. Paper presented at </w:t>
      </w:r>
      <w:r w:rsidRPr="00B3151A">
        <w:rPr>
          <w:rStyle w:val="apple-converted-space"/>
          <w:sz w:val="16"/>
          <w:szCs w:val="16"/>
          <w:shd w:val="clear" w:color="auto" w:fill="FFFFFF"/>
        </w:rPr>
        <w:t> </w:t>
      </w:r>
      <w:r w:rsidRPr="00B3151A">
        <w:rPr>
          <w:i/>
          <w:iCs/>
          <w:sz w:val="16"/>
          <w:szCs w:val="16"/>
          <w:shd w:val="clear" w:color="auto" w:fill="FFFFFF"/>
        </w:rPr>
        <w:t xml:space="preserve">World of Wireless, Mobile and Multimedia Networks (WoWMoM), 2011 IEEE International Symposium </w:t>
      </w:r>
      <w:r w:rsidRPr="00B3151A">
        <w:rPr>
          <w:sz w:val="16"/>
          <w:szCs w:val="16"/>
          <w:shd w:val="clear" w:color="auto" w:fill="FFFFFF"/>
        </w:rPr>
        <w:t>(pp. 1-6).</w:t>
      </w:r>
    </w:p>
    <w:p w:rsidR="00572D3C" w:rsidRPr="00B3151A" w:rsidRDefault="00572D3C" w:rsidP="00572D3C">
      <w:pPr>
        <w:ind w:left="720" w:right="268" w:hanging="720"/>
        <w:jc w:val="both"/>
        <w:rPr>
          <w:rFonts w:ascii="Times New Roman" w:hAnsi="Times New Roman" w:cs="Times New Roman"/>
          <w:sz w:val="16"/>
          <w:szCs w:val="16"/>
        </w:rPr>
      </w:pPr>
      <w:r w:rsidRPr="00B3151A">
        <w:rPr>
          <w:rFonts w:ascii="Times New Roman" w:hAnsi="Times New Roman" w:cs="Times New Roman"/>
          <w:sz w:val="16"/>
          <w:szCs w:val="16"/>
          <w:shd w:val="clear" w:color="auto" w:fill="FFFFFF"/>
        </w:rPr>
        <w:t xml:space="preserve">Rizvandi, N. B., Taheri, J., &amp; Zomaya, A. Y. (2011). Some observations on optimal frequency selection in DVFS-based energy consumption minimization. </w:t>
      </w:r>
      <w:r w:rsidRPr="00B3151A">
        <w:rPr>
          <w:rFonts w:ascii="Times New Roman" w:hAnsi="Times New Roman" w:cs="Times New Roman"/>
          <w:i/>
          <w:iCs/>
          <w:sz w:val="16"/>
          <w:szCs w:val="16"/>
          <w:shd w:val="clear" w:color="auto" w:fill="FFFFFF"/>
        </w:rPr>
        <w:t>Parallel and Distributed Computing</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71</w:t>
      </w:r>
      <w:r w:rsidRPr="00B3151A">
        <w:rPr>
          <w:rFonts w:ascii="Times New Roman" w:hAnsi="Times New Roman" w:cs="Times New Roman"/>
          <w:sz w:val="16"/>
          <w:szCs w:val="16"/>
          <w:shd w:val="clear" w:color="auto" w:fill="FFFFFF"/>
        </w:rPr>
        <w:t>(8), 1154-1164.</w:t>
      </w:r>
    </w:p>
    <w:p w:rsidR="00572D3C" w:rsidRDefault="00B47783"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Setzer, T., &amp; Bichler, M. (2013). Using matrix approximation for high-dimensional discrete optimization problems: Server consolidation based on cyclic time-series data.</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European Journal of Operational Research</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227</w:t>
      </w:r>
      <w:r w:rsidRPr="00B3151A">
        <w:rPr>
          <w:rFonts w:ascii="Times New Roman" w:hAnsi="Times New Roman" w:cs="Times New Roman"/>
          <w:sz w:val="16"/>
          <w:szCs w:val="16"/>
          <w:shd w:val="clear" w:color="auto" w:fill="FFFFFF"/>
        </w:rPr>
        <w:t>(1), 62-75.</w:t>
      </w:r>
    </w:p>
    <w:p w:rsidR="00632034" w:rsidRPr="00632034" w:rsidRDefault="00632034" w:rsidP="00632034">
      <w:pPr>
        <w:ind w:left="720" w:right="268" w:hanging="720"/>
        <w:jc w:val="both"/>
        <w:rPr>
          <w:rFonts w:ascii="Times New Roman" w:hAnsi="Times New Roman" w:cs="Times New Roman"/>
          <w:sz w:val="16"/>
          <w:szCs w:val="16"/>
          <w:shd w:val="clear" w:color="auto" w:fill="FFFFFF"/>
        </w:rPr>
      </w:pPr>
      <w:r w:rsidRPr="00632034">
        <w:rPr>
          <w:rFonts w:ascii="Times New Roman" w:hAnsi="Times New Roman" w:cs="Times New Roman"/>
          <w:iCs/>
          <w:sz w:val="16"/>
          <w:szCs w:val="16"/>
          <w:shd w:val="clear" w:color="auto" w:fill="FFFFFF"/>
          <w:lang w:val="en-US"/>
        </w:rPr>
        <w:t>Venkatraman</w:t>
      </w:r>
      <w:r>
        <w:rPr>
          <w:rFonts w:ascii="Times New Roman" w:hAnsi="Times New Roman" w:cs="Times New Roman"/>
          <w:iCs/>
          <w:sz w:val="16"/>
          <w:szCs w:val="16"/>
          <w:shd w:val="clear" w:color="auto" w:fill="FFFFFF"/>
          <w:lang w:val="en-US"/>
        </w:rPr>
        <w:t xml:space="preserve"> A. (2012)</w:t>
      </w:r>
      <w:r w:rsidRPr="00632034">
        <w:rPr>
          <w:rFonts w:ascii="Times New Roman" w:hAnsi="Times New Roman" w:cs="Times New Roman"/>
          <w:iCs/>
          <w:sz w:val="16"/>
          <w:szCs w:val="16"/>
          <w:shd w:val="clear" w:color="auto" w:fill="FFFFFF"/>
          <w:lang w:val="en-US"/>
        </w:rPr>
        <w:t>,</w:t>
      </w:r>
      <w:r>
        <w:rPr>
          <w:rFonts w:ascii="Times New Roman" w:hAnsi="Times New Roman" w:cs="Times New Roman"/>
          <w:iCs/>
          <w:sz w:val="16"/>
          <w:szCs w:val="16"/>
          <w:shd w:val="clear" w:color="auto" w:fill="FFFFFF"/>
          <w:lang w:val="en-US"/>
        </w:rPr>
        <w:t xml:space="preserve"> </w:t>
      </w:r>
      <w:r w:rsidRPr="00632034">
        <w:rPr>
          <w:rFonts w:ascii="Times New Roman" w:hAnsi="Times New Roman" w:cs="Times New Roman"/>
          <w:iCs/>
          <w:sz w:val="16"/>
          <w:szCs w:val="16"/>
          <w:shd w:val="clear" w:color="auto" w:fill="FFFFFF"/>
          <w:lang w:val="en-US"/>
        </w:rPr>
        <w:t xml:space="preserve">Global census shows datacentre power demand grew 63% in 2012, </w:t>
      </w:r>
      <w:r>
        <w:rPr>
          <w:rFonts w:ascii="Times New Roman" w:hAnsi="Times New Roman" w:cs="Times New Roman"/>
          <w:iCs/>
          <w:sz w:val="16"/>
          <w:szCs w:val="16"/>
          <w:shd w:val="clear" w:color="auto" w:fill="FFFFFF"/>
          <w:lang w:val="en-US"/>
        </w:rPr>
        <w:t>Retrieved from</w:t>
      </w:r>
      <w:r w:rsidRPr="00632034">
        <w:rPr>
          <w:rFonts w:ascii="Times New Roman" w:hAnsi="Times New Roman" w:cs="Times New Roman"/>
          <w:iCs/>
          <w:sz w:val="16"/>
          <w:szCs w:val="16"/>
          <w:shd w:val="clear" w:color="auto" w:fill="FFFFFF"/>
          <w:lang w:val="en-US"/>
        </w:rPr>
        <w:t xml:space="preserve">: </w:t>
      </w:r>
      <w:hyperlink r:id="rId12" w:history="1">
        <w:r w:rsidRPr="00011BD0">
          <w:rPr>
            <w:rStyle w:val="Hyperlink"/>
            <w:rFonts w:ascii="Times New Roman" w:hAnsi="Times New Roman" w:cs="Times New Roman"/>
            <w:iCs/>
            <w:sz w:val="16"/>
            <w:szCs w:val="16"/>
            <w:shd w:val="clear" w:color="auto" w:fill="FFFFFF"/>
            <w:lang w:val="en-US"/>
          </w:rPr>
          <w:t>http://www.computerweekly.com</w:t>
        </w:r>
      </w:hyperlink>
      <w:r w:rsidRPr="00632034">
        <w:rPr>
          <w:rFonts w:ascii="Times New Roman" w:hAnsi="Times New Roman" w:cs="Times New Roman"/>
          <w:iCs/>
          <w:sz w:val="16"/>
          <w:szCs w:val="16"/>
          <w:shd w:val="clear" w:color="auto" w:fill="FFFFFF"/>
          <w:lang w:val="en-US"/>
        </w:rPr>
        <w:t>,</w:t>
      </w:r>
      <w:r>
        <w:rPr>
          <w:rFonts w:ascii="Times New Roman" w:hAnsi="Times New Roman" w:cs="Times New Roman"/>
          <w:iCs/>
          <w:sz w:val="16"/>
          <w:szCs w:val="16"/>
          <w:shd w:val="clear" w:color="auto" w:fill="FFFFFF"/>
          <w:lang w:val="en-US"/>
        </w:rPr>
        <w:t xml:space="preserve"> </w:t>
      </w:r>
      <w:r>
        <w:rPr>
          <w:rFonts w:ascii="Times New Roman" w:hAnsi="Times New Roman" w:cs="Times New Roman"/>
          <w:sz w:val="16"/>
          <w:szCs w:val="16"/>
          <w:shd w:val="clear" w:color="auto" w:fill="FFFFFF"/>
        </w:rPr>
        <w:t>(accessed January 12, 2014)</w:t>
      </w:r>
      <w:r w:rsidRPr="00632034">
        <w:rPr>
          <w:rFonts w:ascii="Times New Roman" w:hAnsi="Times New Roman" w:cs="Times New Roman"/>
          <w:iCs/>
          <w:sz w:val="16"/>
          <w:szCs w:val="16"/>
          <w:shd w:val="clear" w:color="auto" w:fill="FFFFFF"/>
          <w:lang w:val="en-US"/>
        </w:rPr>
        <w:t>.</w:t>
      </w:r>
    </w:p>
    <w:p w:rsidR="00A7715B" w:rsidRDefault="00B42414"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Von Laszewski, G., Wang, L., Younge, A. J., &amp; He, X. (2009, August). Power-aware scheduling of virtual machines in dvfs-enabled clusters. Paper presented in</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Cluster Computing and Workshops, 2009. CLUSTER'09. IEEE International Conference on</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sz w:val="16"/>
          <w:szCs w:val="16"/>
          <w:shd w:val="clear" w:color="auto" w:fill="FFFFFF"/>
        </w:rPr>
        <w:t>(pp. 1-10).</w:t>
      </w:r>
    </w:p>
    <w:p w:rsidR="00523F9B" w:rsidRPr="00B3151A" w:rsidRDefault="00523F9B"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Wang, Y., &amp; Wang, X. (2014). Performance-controlled server consolidation for virtualized data centers with multi-tier applications.</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Sustainable Computing: Informatics and Systems</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4</w:t>
      </w:r>
      <w:r w:rsidRPr="00B3151A">
        <w:rPr>
          <w:rFonts w:ascii="Times New Roman" w:hAnsi="Times New Roman" w:cs="Times New Roman"/>
          <w:sz w:val="16"/>
          <w:szCs w:val="16"/>
          <w:shd w:val="clear" w:color="auto" w:fill="FFFFFF"/>
        </w:rPr>
        <w:t>(1), 52-65.</w:t>
      </w:r>
    </w:p>
    <w:p w:rsidR="00572D3C" w:rsidRDefault="00DD57F8" w:rsidP="00D76758">
      <w:pPr>
        <w:ind w:left="720" w:right="268" w:hanging="720"/>
        <w:jc w:val="both"/>
        <w:rPr>
          <w:rFonts w:ascii="Times New Roman" w:hAnsi="Times New Roman" w:cs="Times New Roman"/>
          <w:sz w:val="16"/>
          <w:szCs w:val="16"/>
          <w:shd w:val="clear" w:color="auto" w:fill="FFFFFF"/>
        </w:rPr>
      </w:pPr>
      <w:r w:rsidRPr="00B3151A">
        <w:rPr>
          <w:rFonts w:ascii="Times New Roman" w:hAnsi="Times New Roman" w:cs="Times New Roman"/>
          <w:sz w:val="16"/>
          <w:szCs w:val="16"/>
          <w:shd w:val="clear" w:color="auto" w:fill="FFFFFF"/>
        </w:rPr>
        <w:t>Wu, C. M., Chang, R. S., &amp; Chan, H. Y. (2014). A green energy-efficient scheduling algorithm using the DVFS technique for cloud datacenters.</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Future Generation Computer Systems</w:t>
      </w:r>
      <w:r w:rsidRPr="00B3151A">
        <w:rPr>
          <w:rFonts w:ascii="Times New Roman" w:hAnsi="Times New Roman" w:cs="Times New Roman"/>
          <w:sz w:val="16"/>
          <w:szCs w:val="16"/>
          <w:shd w:val="clear" w:color="auto" w:fill="FFFFFF"/>
        </w:rPr>
        <w:t>,</w:t>
      </w:r>
      <w:r w:rsidRPr="00B3151A">
        <w:rPr>
          <w:rStyle w:val="apple-converted-space"/>
          <w:rFonts w:ascii="Times New Roman" w:hAnsi="Times New Roman" w:cs="Times New Roman"/>
          <w:sz w:val="16"/>
          <w:szCs w:val="16"/>
          <w:shd w:val="clear" w:color="auto" w:fill="FFFFFF"/>
        </w:rPr>
        <w:t> </w:t>
      </w:r>
      <w:r w:rsidRPr="00B3151A">
        <w:rPr>
          <w:rFonts w:ascii="Times New Roman" w:hAnsi="Times New Roman" w:cs="Times New Roman"/>
          <w:i/>
          <w:iCs/>
          <w:sz w:val="16"/>
          <w:szCs w:val="16"/>
          <w:shd w:val="clear" w:color="auto" w:fill="FFFFFF"/>
        </w:rPr>
        <w:t>37</w:t>
      </w:r>
      <w:r w:rsidRPr="00B3151A">
        <w:rPr>
          <w:rFonts w:ascii="Times New Roman" w:hAnsi="Times New Roman" w:cs="Times New Roman"/>
          <w:sz w:val="16"/>
          <w:szCs w:val="16"/>
          <w:shd w:val="clear" w:color="auto" w:fill="FFFFFF"/>
        </w:rPr>
        <w:t>, 141-147.</w:t>
      </w:r>
    </w:p>
    <w:sectPr w:rsidR="00572D3C" w:rsidSect="00A32B74">
      <w:type w:val="continuous"/>
      <w:pgSz w:w="12240" w:h="15840" w:code="1"/>
      <w:pgMar w:top="1077" w:right="902" w:bottom="1440" w:left="902" w:header="720" w:footer="720" w:gutter="0"/>
      <w:cols w:num="2" w:space="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84B" w:rsidRDefault="0070484B">
      <w:r>
        <w:separator/>
      </w:r>
    </w:p>
  </w:endnote>
  <w:endnote w:type="continuationSeparator" w:id="0">
    <w:p w:rsidR="0070484B" w:rsidRDefault="007048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PMingLiU">
    <w:altName w:val="新細明體"/>
    <w:panose1 w:val="02020500000000000000"/>
    <w:charset w:val="88"/>
    <w:family w:val="auto"/>
    <w:notTrueType/>
    <w:pitch w:val="variable"/>
    <w:sig w:usb0="00000001" w:usb1="08080000" w:usb2="00000010" w:usb3="00000000" w:csb0="001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Univers 45 Light">
    <w:altName w:val="Univers 45 Ligh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84B" w:rsidRDefault="0070484B">
      <w:r>
        <w:separator/>
      </w:r>
    </w:p>
  </w:footnote>
  <w:footnote w:type="continuationSeparator" w:id="0">
    <w:p w:rsidR="0070484B" w:rsidRDefault="0070484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A7A13"/>
    <w:multiLevelType w:val="hybridMultilevel"/>
    <w:tmpl w:val="0F2420A8"/>
    <w:lvl w:ilvl="0" w:tplc="40090015">
      <w:start w:val="1"/>
      <w:numFmt w:val="upp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nsid w:val="07395213"/>
    <w:multiLevelType w:val="multilevel"/>
    <w:tmpl w:val="DCDC76EE"/>
    <w:lvl w:ilvl="0">
      <w:start w:val="1"/>
      <w:numFmt w:val="decimal"/>
      <w:lvlText w:val="%1."/>
      <w:lvlJc w:val="left"/>
      <w:pPr>
        <w:tabs>
          <w:tab w:val="num" w:pos="480"/>
        </w:tabs>
        <w:ind w:left="480" w:hanging="480"/>
      </w:pPr>
    </w:lvl>
    <w:lvl w:ilvl="1">
      <w:start w:val="1"/>
      <w:numFmt w:val="ideographTraditional"/>
      <w:lvlText w:val="%2、"/>
      <w:lvlJc w:val="left"/>
      <w:pPr>
        <w:tabs>
          <w:tab w:val="num" w:pos="960"/>
        </w:tabs>
        <w:ind w:left="960" w:hanging="480"/>
      </w:pPr>
    </w:lvl>
    <w:lvl w:ilvl="2">
      <w:start w:val="1"/>
      <w:numFmt w:val="lowerRoman"/>
      <w:lvlText w:val="%3."/>
      <w:lvlJc w:val="right"/>
      <w:pPr>
        <w:tabs>
          <w:tab w:val="num" w:pos="1440"/>
        </w:tabs>
        <w:ind w:left="1440" w:hanging="480"/>
      </w:pPr>
    </w:lvl>
    <w:lvl w:ilvl="3">
      <w:start w:val="1"/>
      <w:numFmt w:val="decimal"/>
      <w:lvlText w:val="%4."/>
      <w:lvlJc w:val="left"/>
      <w:pPr>
        <w:tabs>
          <w:tab w:val="num" w:pos="1920"/>
        </w:tabs>
        <w:ind w:left="1920" w:hanging="480"/>
      </w:pPr>
    </w:lvl>
    <w:lvl w:ilvl="4">
      <w:start w:val="1"/>
      <w:numFmt w:val="ideographTraditional"/>
      <w:lvlText w:val="%5、"/>
      <w:lvlJc w:val="left"/>
      <w:pPr>
        <w:tabs>
          <w:tab w:val="num" w:pos="2400"/>
        </w:tabs>
        <w:ind w:left="2400" w:hanging="480"/>
      </w:pPr>
    </w:lvl>
    <w:lvl w:ilvl="5">
      <w:start w:val="1"/>
      <w:numFmt w:val="lowerRoman"/>
      <w:lvlText w:val="%6."/>
      <w:lvlJc w:val="right"/>
      <w:pPr>
        <w:tabs>
          <w:tab w:val="num" w:pos="2880"/>
        </w:tabs>
        <w:ind w:left="2880" w:hanging="480"/>
      </w:pPr>
    </w:lvl>
    <w:lvl w:ilvl="6">
      <w:start w:val="1"/>
      <w:numFmt w:val="decimal"/>
      <w:lvlText w:val="%7."/>
      <w:lvlJc w:val="left"/>
      <w:pPr>
        <w:tabs>
          <w:tab w:val="num" w:pos="3360"/>
        </w:tabs>
        <w:ind w:left="3360" w:hanging="480"/>
      </w:pPr>
    </w:lvl>
    <w:lvl w:ilvl="7">
      <w:start w:val="1"/>
      <w:numFmt w:val="ideographTraditional"/>
      <w:lvlText w:val="%8、"/>
      <w:lvlJc w:val="left"/>
      <w:pPr>
        <w:tabs>
          <w:tab w:val="num" w:pos="3840"/>
        </w:tabs>
        <w:ind w:left="3840" w:hanging="480"/>
      </w:pPr>
    </w:lvl>
    <w:lvl w:ilvl="8">
      <w:start w:val="1"/>
      <w:numFmt w:val="lowerRoman"/>
      <w:lvlText w:val="%9."/>
      <w:lvlJc w:val="right"/>
      <w:pPr>
        <w:tabs>
          <w:tab w:val="num" w:pos="4320"/>
        </w:tabs>
        <w:ind w:left="4320" w:hanging="480"/>
      </w:pPr>
    </w:lvl>
  </w:abstractNum>
  <w:abstractNum w:abstractNumId="2">
    <w:nsid w:val="0AB61934"/>
    <w:multiLevelType w:val="hybridMultilevel"/>
    <w:tmpl w:val="53E6113A"/>
    <w:lvl w:ilvl="0" w:tplc="5BC88C00">
      <w:start w:val="1"/>
      <w:numFmt w:val="decimal"/>
      <w:lvlText w:val="%1."/>
      <w:lvlJc w:val="left"/>
      <w:pPr>
        <w:ind w:left="720" w:hanging="360"/>
      </w:pPr>
      <w:rPr>
        <w:rFonts w:hint="default"/>
        <w:b/>
        <w:i/>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9E3621"/>
    <w:multiLevelType w:val="hybridMultilevel"/>
    <w:tmpl w:val="BE02D8A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0D245EFD"/>
    <w:multiLevelType w:val="hybridMultilevel"/>
    <w:tmpl w:val="5EAA15F6"/>
    <w:lvl w:ilvl="0" w:tplc="40090015">
      <w:start w:val="1"/>
      <w:numFmt w:val="upp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nsid w:val="116A3BD2"/>
    <w:multiLevelType w:val="hybridMultilevel"/>
    <w:tmpl w:val="AB5209E4"/>
    <w:lvl w:ilvl="0" w:tplc="40090019">
      <w:start w:val="3"/>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nsid w:val="1B610DB1"/>
    <w:multiLevelType w:val="hybridMultilevel"/>
    <w:tmpl w:val="7370F62A"/>
    <w:lvl w:ilvl="0" w:tplc="72D6E62E">
      <w:start w:val="1"/>
      <w:numFmt w:val="decimal"/>
      <w:lvlText w:val="%1)"/>
      <w:lvlJc w:val="left"/>
      <w:pPr>
        <w:ind w:left="720" w:hanging="360"/>
      </w:pPr>
      <w:rPr>
        <w:rFonts w:hint="default"/>
        <w:i/>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nsid w:val="205C345C"/>
    <w:multiLevelType w:val="hybridMultilevel"/>
    <w:tmpl w:val="52723F74"/>
    <w:lvl w:ilvl="0" w:tplc="FEF4A0B2">
      <w:start w:val="2"/>
      <w:numFmt w:val="upperLetter"/>
      <w:lvlText w:val="%1."/>
      <w:lvlJc w:val="left"/>
      <w:pPr>
        <w:ind w:left="720" w:hanging="360"/>
      </w:pPr>
      <w:rPr>
        <w:rFonts w:ascii="Times" w:hAnsi="Times" w:cs="Times" w:hint="default"/>
        <w:i/>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8">
    <w:nsid w:val="229F7002"/>
    <w:multiLevelType w:val="hybridMultilevel"/>
    <w:tmpl w:val="A634A9A6"/>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nsid w:val="24FC01B5"/>
    <w:multiLevelType w:val="hybridMultilevel"/>
    <w:tmpl w:val="2C04E098"/>
    <w:lvl w:ilvl="0" w:tplc="8E50FB58">
      <w:start w:val="2"/>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A22C23"/>
    <w:multiLevelType w:val="hybridMultilevel"/>
    <w:tmpl w:val="65AAA336"/>
    <w:lvl w:ilvl="0" w:tplc="CEE82224">
      <w:start w:val="1"/>
      <w:numFmt w:val="decimal"/>
      <w:lvlText w:val="%1)"/>
      <w:lvlJc w:val="left"/>
      <w:pPr>
        <w:ind w:left="720" w:hanging="360"/>
      </w:pPr>
      <w:rPr>
        <w:rFonts w:ascii="Times New Roman" w:hAnsi="Times New Roman" w:cs="Times New Roman" w:hint="default"/>
        <w:sz w:val="20"/>
        <w:szCs w:val="20"/>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nsid w:val="28CF56AB"/>
    <w:multiLevelType w:val="hybridMultilevel"/>
    <w:tmpl w:val="7A84AB20"/>
    <w:lvl w:ilvl="0" w:tplc="C95A3E5E">
      <w:start w:val="6"/>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nsid w:val="316B186C"/>
    <w:multiLevelType w:val="multilevel"/>
    <w:tmpl w:val="2892B612"/>
    <w:lvl w:ilvl="0">
      <w:start w:val="1"/>
      <w:numFmt w:val="decimal"/>
      <w:lvlText w:val="%1."/>
      <w:lvlJc w:val="left"/>
      <w:pPr>
        <w:ind w:left="720" w:hanging="360"/>
      </w:pPr>
      <w:rPr>
        <w:rFonts w:hint="default"/>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nsid w:val="35C800A5"/>
    <w:multiLevelType w:val="hybridMultilevel"/>
    <w:tmpl w:val="EA4ABBFC"/>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4">
    <w:nsid w:val="38D63780"/>
    <w:multiLevelType w:val="hybridMultilevel"/>
    <w:tmpl w:val="A13642F4"/>
    <w:lvl w:ilvl="0" w:tplc="30A0E7BC">
      <w:start w:val="2"/>
      <w:numFmt w:val="upperRoman"/>
      <w:lvlText w:val="%1."/>
      <w:lvlJc w:val="left"/>
      <w:pPr>
        <w:ind w:left="1080" w:hanging="720"/>
      </w:pPr>
      <w:rPr>
        <w:rFonts w:ascii="Times" w:hAnsi="Times" w:cs="Times" w:hint="default"/>
        <w:i/>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nsid w:val="3D45359B"/>
    <w:multiLevelType w:val="hybridMultilevel"/>
    <w:tmpl w:val="B9D0F2E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nsid w:val="45870ABD"/>
    <w:multiLevelType w:val="hybridMultilevel"/>
    <w:tmpl w:val="2642FB64"/>
    <w:lvl w:ilvl="0" w:tplc="0B3A07F0">
      <w:start w:val="1"/>
      <w:numFmt w:val="bullet"/>
      <w:lvlText w:val=""/>
      <w:lvlJc w:val="left"/>
      <w:pPr>
        <w:ind w:left="720" w:hanging="360"/>
      </w:pPr>
      <w:rPr>
        <w:rFonts w:ascii="Symbol" w:hAnsi="Symbol" w:hint="default"/>
      </w:rPr>
    </w:lvl>
    <w:lvl w:ilvl="1" w:tplc="D4F444D0" w:tentative="1">
      <w:start w:val="1"/>
      <w:numFmt w:val="bullet"/>
      <w:lvlText w:val="o"/>
      <w:lvlJc w:val="left"/>
      <w:pPr>
        <w:ind w:left="1440" w:hanging="360"/>
      </w:pPr>
      <w:rPr>
        <w:rFonts w:ascii="Courier New" w:hAnsi="Courier New" w:cs="Courier New" w:hint="default"/>
      </w:rPr>
    </w:lvl>
    <w:lvl w:ilvl="2" w:tplc="4A982216" w:tentative="1">
      <w:start w:val="1"/>
      <w:numFmt w:val="bullet"/>
      <w:lvlText w:val=""/>
      <w:lvlJc w:val="left"/>
      <w:pPr>
        <w:ind w:left="2160" w:hanging="360"/>
      </w:pPr>
      <w:rPr>
        <w:rFonts w:ascii="Wingdings" w:hAnsi="Wingdings" w:hint="default"/>
      </w:rPr>
    </w:lvl>
    <w:lvl w:ilvl="3" w:tplc="15107E24" w:tentative="1">
      <w:start w:val="1"/>
      <w:numFmt w:val="bullet"/>
      <w:lvlText w:val=""/>
      <w:lvlJc w:val="left"/>
      <w:pPr>
        <w:ind w:left="2880" w:hanging="360"/>
      </w:pPr>
      <w:rPr>
        <w:rFonts w:ascii="Symbol" w:hAnsi="Symbol" w:hint="default"/>
      </w:rPr>
    </w:lvl>
    <w:lvl w:ilvl="4" w:tplc="BC4ADA72" w:tentative="1">
      <w:start w:val="1"/>
      <w:numFmt w:val="bullet"/>
      <w:lvlText w:val="o"/>
      <w:lvlJc w:val="left"/>
      <w:pPr>
        <w:ind w:left="3600" w:hanging="360"/>
      </w:pPr>
      <w:rPr>
        <w:rFonts w:ascii="Courier New" w:hAnsi="Courier New" w:cs="Courier New" w:hint="default"/>
      </w:rPr>
    </w:lvl>
    <w:lvl w:ilvl="5" w:tplc="E3C23842" w:tentative="1">
      <w:start w:val="1"/>
      <w:numFmt w:val="bullet"/>
      <w:lvlText w:val=""/>
      <w:lvlJc w:val="left"/>
      <w:pPr>
        <w:ind w:left="4320" w:hanging="360"/>
      </w:pPr>
      <w:rPr>
        <w:rFonts w:ascii="Wingdings" w:hAnsi="Wingdings" w:hint="default"/>
      </w:rPr>
    </w:lvl>
    <w:lvl w:ilvl="6" w:tplc="88EAE0F4" w:tentative="1">
      <w:start w:val="1"/>
      <w:numFmt w:val="bullet"/>
      <w:lvlText w:val=""/>
      <w:lvlJc w:val="left"/>
      <w:pPr>
        <w:ind w:left="5040" w:hanging="360"/>
      </w:pPr>
      <w:rPr>
        <w:rFonts w:ascii="Symbol" w:hAnsi="Symbol" w:hint="default"/>
      </w:rPr>
    </w:lvl>
    <w:lvl w:ilvl="7" w:tplc="6C56BAC4" w:tentative="1">
      <w:start w:val="1"/>
      <w:numFmt w:val="bullet"/>
      <w:lvlText w:val="o"/>
      <w:lvlJc w:val="left"/>
      <w:pPr>
        <w:ind w:left="5760" w:hanging="360"/>
      </w:pPr>
      <w:rPr>
        <w:rFonts w:ascii="Courier New" w:hAnsi="Courier New" w:cs="Courier New" w:hint="default"/>
      </w:rPr>
    </w:lvl>
    <w:lvl w:ilvl="8" w:tplc="93E07EF8" w:tentative="1">
      <w:start w:val="1"/>
      <w:numFmt w:val="bullet"/>
      <w:lvlText w:val=""/>
      <w:lvlJc w:val="left"/>
      <w:pPr>
        <w:ind w:left="6480" w:hanging="360"/>
      </w:pPr>
      <w:rPr>
        <w:rFonts w:ascii="Wingdings" w:hAnsi="Wingdings" w:hint="default"/>
      </w:rPr>
    </w:lvl>
  </w:abstractNum>
  <w:abstractNum w:abstractNumId="17">
    <w:nsid w:val="470E2046"/>
    <w:multiLevelType w:val="hybridMultilevel"/>
    <w:tmpl w:val="2BC0ABB6"/>
    <w:lvl w:ilvl="0" w:tplc="C9BE38D4">
      <w:start w:val="1"/>
      <w:numFmt w:val="decimal"/>
      <w:lvlText w:val="%1)"/>
      <w:lvlJc w:val="left"/>
      <w:pPr>
        <w:ind w:left="720" w:hanging="360"/>
      </w:pPr>
      <w:rPr>
        <w:rFonts w:hint="default"/>
        <w:i/>
      </w:rPr>
    </w:lvl>
    <w:lvl w:ilvl="1" w:tplc="907C8C5E" w:tentative="1">
      <w:start w:val="1"/>
      <w:numFmt w:val="lowerLetter"/>
      <w:lvlText w:val="%2."/>
      <w:lvlJc w:val="left"/>
      <w:pPr>
        <w:ind w:left="1440" w:hanging="360"/>
      </w:pPr>
    </w:lvl>
    <w:lvl w:ilvl="2" w:tplc="74CAC722" w:tentative="1">
      <w:start w:val="1"/>
      <w:numFmt w:val="lowerRoman"/>
      <w:lvlText w:val="%3."/>
      <w:lvlJc w:val="right"/>
      <w:pPr>
        <w:ind w:left="2160" w:hanging="180"/>
      </w:pPr>
    </w:lvl>
    <w:lvl w:ilvl="3" w:tplc="0E0C1D5A" w:tentative="1">
      <w:start w:val="1"/>
      <w:numFmt w:val="decimal"/>
      <w:lvlText w:val="%4."/>
      <w:lvlJc w:val="left"/>
      <w:pPr>
        <w:ind w:left="2880" w:hanging="360"/>
      </w:pPr>
    </w:lvl>
    <w:lvl w:ilvl="4" w:tplc="7ED2B80C" w:tentative="1">
      <w:start w:val="1"/>
      <w:numFmt w:val="lowerLetter"/>
      <w:lvlText w:val="%5."/>
      <w:lvlJc w:val="left"/>
      <w:pPr>
        <w:ind w:left="3600" w:hanging="360"/>
      </w:pPr>
    </w:lvl>
    <w:lvl w:ilvl="5" w:tplc="59323A8C" w:tentative="1">
      <w:start w:val="1"/>
      <w:numFmt w:val="lowerRoman"/>
      <w:lvlText w:val="%6."/>
      <w:lvlJc w:val="right"/>
      <w:pPr>
        <w:ind w:left="4320" w:hanging="180"/>
      </w:pPr>
    </w:lvl>
    <w:lvl w:ilvl="6" w:tplc="9238F144" w:tentative="1">
      <w:start w:val="1"/>
      <w:numFmt w:val="decimal"/>
      <w:lvlText w:val="%7."/>
      <w:lvlJc w:val="left"/>
      <w:pPr>
        <w:ind w:left="5040" w:hanging="360"/>
      </w:pPr>
    </w:lvl>
    <w:lvl w:ilvl="7" w:tplc="43601ED8" w:tentative="1">
      <w:start w:val="1"/>
      <w:numFmt w:val="lowerLetter"/>
      <w:lvlText w:val="%8."/>
      <w:lvlJc w:val="left"/>
      <w:pPr>
        <w:ind w:left="5760" w:hanging="360"/>
      </w:pPr>
    </w:lvl>
    <w:lvl w:ilvl="8" w:tplc="9AEE0396" w:tentative="1">
      <w:start w:val="1"/>
      <w:numFmt w:val="lowerRoman"/>
      <w:lvlText w:val="%9."/>
      <w:lvlJc w:val="right"/>
      <w:pPr>
        <w:ind w:left="6480" w:hanging="180"/>
      </w:pPr>
    </w:lvl>
  </w:abstractNum>
  <w:abstractNum w:abstractNumId="18">
    <w:nsid w:val="519D4D28"/>
    <w:multiLevelType w:val="hybridMultilevel"/>
    <w:tmpl w:val="5388FBFA"/>
    <w:lvl w:ilvl="0" w:tplc="40090001">
      <w:start w:val="1"/>
      <w:numFmt w:val="decimal"/>
      <w:lvlText w:val="%1.)"/>
      <w:lvlJc w:val="left"/>
      <w:pPr>
        <w:ind w:left="720" w:hanging="360"/>
      </w:pPr>
      <w:rPr>
        <w:rFonts w:hint="default"/>
      </w:rPr>
    </w:lvl>
    <w:lvl w:ilvl="1" w:tplc="40090003" w:tentative="1">
      <w:start w:val="1"/>
      <w:numFmt w:val="lowerLetter"/>
      <w:lvlText w:val="%2."/>
      <w:lvlJc w:val="left"/>
      <w:pPr>
        <w:ind w:left="1440" w:hanging="360"/>
      </w:pPr>
    </w:lvl>
    <w:lvl w:ilvl="2" w:tplc="40090005" w:tentative="1">
      <w:start w:val="1"/>
      <w:numFmt w:val="lowerRoman"/>
      <w:lvlText w:val="%3."/>
      <w:lvlJc w:val="right"/>
      <w:pPr>
        <w:ind w:left="2160" w:hanging="180"/>
      </w:pPr>
    </w:lvl>
    <w:lvl w:ilvl="3" w:tplc="40090001" w:tentative="1">
      <w:start w:val="1"/>
      <w:numFmt w:val="decimal"/>
      <w:lvlText w:val="%4."/>
      <w:lvlJc w:val="left"/>
      <w:pPr>
        <w:ind w:left="2880" w:hanging="360"/>
      </w:pPr>
    </w:lvl>
    <w:lvl w:ilvl="4" w:tplc="40090003" w:tentative="1">
      <w:start w:val="1"/>
      <w:numFmt w:val="lowerLetter"/>
      <w:lvlText w:val="%5."/>
      <w:lvlJc w:val="left"/>
      <w:pPr>
        <w:ind w:left="3600" w:hanging="360"/>
      </w:pPr>
    </w:lvl>
    <w:lvl w:ilvl="5" w:tplc="40090005" w:tentative="1">
      <w:start w:val="1"/>
      <w:numFmt w:val="lowerRoman"/>
      <w:lvlText w:val="%6."/>
      <w:lvlJc w:val="right"/>
      <w:pPr>
        <w:ind w:left="4320" w:hanging="180"/>
      </w:pPr>
    </w:lvl>
    <w:lvl w:ilvl="6" w:tplc="40090001" w:tentative="1">
      <w:start w:val="1"/>
      <w:numFmt w:val="decimal"/>
      <w:lvlText w:val="%7."/>
      <w:lvlJc w:val="left"/>
      <w:pPr>
        <w:ind w:left="5040" w:hanging="360"/>
      </w:pPr>
    </w:lvl>
    <w:lvl w:ilvl="7" w:tplc="40090003" w:tentative="1">
      <w:start w:val="1"/>
      <w:numFmt w:val="lowerLetter"/>
      <w:lvlText w:val="%8."/>
      <w:lvlJc w:val="left"/>
      <w:pPr>
        <w:ind w:left="5760" w:hanging="360"/>
      </w:pPr>
    </w:lvl>
    <w:lvl w:ilvl="8" w:tplc="40090005" w:tentative="1">
      <w:start w:val="1"/>
      <w:numFmt w:val="lowerRoman"/>
      <w:lvlText w:val="%9."/>
      <w:lvlJc w:val="right"/>
      <w:pPr>
        <w:ind w:left="6480" w:hanging="180"/>
      </w:pPr>
    </w:lvl>
  </w:abstractNum>
  <w:abstractNum w:abstractNumId="19">
    <w:nsid w:val="5651263F"/>
    <w:multiLevelType w:val="hybridMultilevel"/>
    <w:tmpl w:val="026E8AF6"/>
    <w:lvl w:ilvl="0" w:tplc="D87A3C60">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nsid w:val="6045054F"/>
    <w:multiLevelType w:val="hybridMultilevel"/>
    <w:tmpl w:val="879CF8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9907BEC"/>
    <w:multiLevelType w:val="hybridMultilevel"/>
    <w:tmpl w:val="CD26E8C6"/>
    <w:lvl w:ilvl="0" w:tplc="B1C6B0E8">
      <w:start w:val="1"/>
      <w:numFmt w:val="decimal"/>
      <w:lvlText w:val="[%1]"/>
      <w:lvlJc w:val="left"/>
      <w:pPr>
        <w:tabs>
          <w:tab w:val="num" w:pos="360"/>
        </w:tabs>
        <w:ind w:left="360" w:hanging="360"/>
      </w:pPr>
      <w:rPr>
        <w:rFonts w:hint="default"/>
      </w:rPr>
    </w:lvl>
    <w:lvl w:ilvl="1" w:tplc="40090019" w:tentative="1">
      <w:start w:val="1"/>
      <w:numFmt w:val="ideographTraditional"/>
      <w:lvlText w:val="%2、"/>
      <w:lvlJc w:val="left"/>
      <w:pPr>
        <w:tabs>
          <w:tab w:val="num" w:pos="960"/>
        </w:tabs>
        <w:ind w:left="960" w:hanging="480"/>
      </w:pPr>
    </w:lvl>
    <w:lvl w:ilvl="2" w:tplc="4009001B" w:tentative="1">
      <w:start w:val="1"/>
      <w:numFmt w:val="lowerRoman"/>
      <w:lvlText w:val="%3."/>
      <w:lvlJc w:val="right"/>
      <w:pPr>
        <w:tabs>
          <w:tab w:val="num" w:pos="1440"/>
        </w:tabs>
        <w:ind w:left="1440" w:hanging="480"/>
      </w:pPr>
    </w:lvl>
    <w:lvl w:ilvl="3" w:tplc="4009000F" w:tentative="1">
      <w:start w:val="1"/>
      <w:numFmt w:val="decimal"/>
      <w:lvlText w:val="%4."/>
      <w:lvlJc w:val="left"/>
      <w:pPr>
        <w:tabs>
          <w:tab w:val="num" w:pos="1920"/>
        </w:tabs>
        <w:ind w:left="1920" w:hanging="480"/>
      </w:pPr>
    </w:lvl>
    <w:lvl w:ilvl="4" w:tplc="40090019" w:tentative="1">
      <w:start w:val="1"/>
      <w:numFmt w:val="ideographTraditional"/>
      <w:lvlText w:val="%5、"/>
      <w:lvlJc w:val="left"/>
      <w:pPr>
        <w:tabs>
          <w:tab w:val="num" w:pos="2400"/>
        </w:tabs>
        <w:ind w:left="2400" w:hanging="480"/>
      </w:pPr>
    </w:lvl>
    <w:lvl w:ilvl="5" w:tplc="4009001B" w:tentative="1">
      <w:start w:val="1"/>
      <w:numFmt w:val="lowerRoman"/>
      <w:lvlText w:val="%6."/>
      <w:lvlJc w:val="right"/>
      <w:pPr>
        <w:tabs>
          <w:tab w:val="num" w:pos="2880"/>
        </w:tabs>
        <w:ind w:left="2880" w:hanging="480"/>
      </w:pPr>
    </w:lvl>
    <w:lvl w:ilvl="6" w:tplc="4009000F" w:tentative="1">
      <w:start w:val="1"/>
      <w:numFmt w:val="decimal"/>
      <w:lvlText w:val="%7."/>
      <w:lvlJc w:val="left"/>
      <w:pPr>
        <w:tabs>
          <w:tab w:val="num" w:pos="3360"/>
        </w:tabs>
        <w:ind w:left="3360" w:hanging="480"/>
      </w:pPr>
    </w:lvl>
    <w:lvl w:ilvl="7" w:tplc="40090019" w:tentative="1">
      <w:start w:val="1"/>
      <w:numFmt w:val="ideographTraditional"/>
      <w:lvlText w:val="%8、"/>
      <w:lvlJc w:val="left"/>
      <w:pPr>
        <w:tabs>
          <w:tab w:val="num" w:pos="3840"/>
        </w:tabs>
        <w:ind w:left="3840" w:hanging="480"/>
      </w:pPr>
    </w:lvl>
    <w:lvl w:ilvl="8" w:tplc="4009001B" w:tentative="1">
      <w:start w:val="1"/>
      <w:numFmt w:val="lowerRoman"/>
      <w:lvlText w:val="%9."/>
      <w:lvlJc w:val="right"/>
      <w:pPr>
        <w:tabs>
          <w:tab w:val="num" w:pos="4320"/>
        </w:tabs>
        <w:ind w:left="4320" w:hanging="480"/>
      </w:pPr>
    </w:lvl>
  </w:abstractNum>
  <w:abstractNum w:abstractNumId="22">
    <w:nsid w:val="6A78475E"/>
    <w:multiLevelType w:val="hybridMultilevel"/>
    <w:tmpl w:val="DD488C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CFA11E7"/>
    <w:multiLevelType w:val="multilevel"/>
    <w:tmpl w:val="012E9CB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6E922A44"/>
    <w:multiLevelType w:val="hybridMultilevel"/>
    <w:tmpl w:val="E6F60190"/>
    <w:lvl w:ilvl="0" w:tplc="C95A3E5E">
      <w:start w:val="6"/>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nsid w:val="70E30173"/>
    <w:multiLevelType w:val="hybridMultilevel"/>
    <w:tmpl w:val="712AD7BC"/>
    <w:lvl w:ilvl="0" w:tplc="40090013">
      <w:start w:val="1"/>
      <w:numFmt w:val="upperLetter"/>
      <w:lvlText w:val="%1."/>
      <w:lvlJc w:val="left"/>
      <w:pPr>
        <w:ind w:left="720" w:hanging="360"/>
      </w:pPr>
      <w:rPr>
        <w:rFonts w:hint="default"/>
        <w:i/>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nsid w:val="795A42F5"/>
    <w:multiLevelType w:val="hybridMultilevel"/>
    <w:tmpl w:val="0994F18E"/>
    <w:lvl w:ilvl="0" w:tplc="2FBEEF22">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16"/>
  </w:num>
  <w:num w:numId="4">
    <w:abstractNumId w:val="26"/>
  </w:num>
  <w:num w:numId="5">
    <w:abstractNumId w:val="0"/>
  </w:num>
  <w:num w:numId="6">
    <w:abstractNumId w:val="7"/>
  </w:num>
  <w:num w:numId="7">
    <w:abstractNumId w:val="3"/>
  </w:num>
  <w:num w:numId="8">
    <w:abstractNumId w:val="10"/>
  </w:num>
  <w:num w:numId="9">
    <w:abstractNumId w:val="15"/>
  </w:num>
  <w:num w:numId="10">
    <w:abstractNumId w:val="18"/>
  </w:num>
  <w:num w:numId="11">
    <w:abstractNumId w:val="6"/>
  </w:num>
  <w:num w:numId="12">
    <w:abstractNumId w:val="13"/>
  </w:num>
  <w:num w:numId="13">
    <w:abstractNumId w:val="11"/>
  </w:num>
  <w:num w:numId="14">
    <w:abstractNumId w:val="4"/>
  </w:num>
  <w:num w:numId="15">
    <w:abstractNumId w:val="17"/>
  </w:num>
  <w:num w:numId="16">
    <w:abstractNumId w:val="8"/>
  </w:num>
  <w:num w:numId="17">
    <w:abstractNumId w:val="19"/>
  </w:num>
  <w:num w:numId="18">
    <w:abstractNumId w:val="14"/>
  </w:num>
  <w:num w:numId="19">
    <w:abstractNumId w:val="25"/>
  </w:num>
  <w:num w:numId="20">
    <w:abstractNumId w:val="5"/>
  </w:num>
  <w:num w:numId="21">
    <w:abstractNumId w:val="9"/>
  </w:num>
  <w:num w:numId="22">
    <w:abstractNumId w:val="24"/>
  </w:num>
  <w:num w:numId="23">
    <w:abstractNumId w:val="22"/>
  </w:num>
  <w:num w:numId="24">
    <w:abstractNumId w:val="20"/>
  </w:num>
  <w:num w:numId="25">
    <w:abstractNumId w:val="2"/>
  </w:num>
  <w:num w:numId="26">
    <w:abstractNumId w:val="12"/>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activeWritingStyle w:appName="MSWord" w:lang="en-US" w:vendorID="64" w:dllVersion="131078" w:nlCheck="1" w:checkStyle="1"/>
  <w:activeWritingStyle w:appName="MSWord" w:lang="en-AU" w:vendorID="64" w:dllVersion="131078" w:nlCheck="1" w:checkStyle="1"/>
  <w:activeWritingStyle w:appName="MSWord" w:lang="en-IN"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6"/>
  <w:doNotHyphenateCaps/>
  <w:drawingGridHorizontalSpacing w:val="120"/>
  <w:drawingGridVerticalSpacing w:val="120"/>
  <w:displayHorizontalDrawingGridEvery w:val="0"/>
  <w:displayVerticalDrawingGridEvery w:val="0"/>
  <w:doNotUseMarginsForDrawingGridOrigin/>
  <w:doNotShadeFormData/>
  <w:characterSpacingControl w:val="doNotCompress"/>
  <w:noLineBreaksAfter w:lang="zh-TW" w:val="([{‘“‵〈《「『【〔〝︵︷︹︻︽︿﹁﹃﹙﹛﹝（｛￡￥"/>
  <w:noLineBreaksBefore w:lang="zh-TW" w:val="!),.:;?]}·–—’”‥…‧′╴、。〉》」』】〕〞︰︱︳︴︶︸︺︼︾﹀﹂﹄﹏﹐﹑﹒﹔﹕﹖﹗﹚﹜﹞！），．：；？｜｝￠"/>
  <w:footnotePr>
    <w:numFmt w:val="chicago"/>
    <w:footnote w:id="-1"/>
    <w:footnote w:id="0"/>
  </w:footnotePr>
  <w:endnotePr>
    <w:endnote w:id="-1"/>
    <w:endnote w:id="0"/>
  </w:endnotePr>
  <w:compat>
    <w:useFELayout/>
    <w:compatSetting w:name="compatibilityMode" w:uri="http://schemas.microsoft.com/office/word" w:val="12"/>
  </w:compat>
  <w:rsids>
    <w:rsidRoot w:val="00A96BE0"/>
    <w:rsid w:val="00004D06"/>
    <w:rsid w:val="00007CE2"/>
    <w:rsid w:val="00007D7A"/>
    <w:rsid w:val="00012FD7"/>
    <w:rsid w:val="000150FF"/>
    <w:rsid w:val="00016405"/>
    <w:rsid w:val="00024542"/>
    <w:rsid w:val="00027711"/>
    <w:rsid w:val="00040A9C"/>
    <w:rsid w:val="000476BC"/>
    <w:rsid w:val="00054F6C"/>
    <w:rsid w:val="00073349"/>
    <w:rsid w:val="00075059"/>
    <w:rsid w:val="0008047C"/>
    <w:rsid w:val="00085890"/>
    <w:rsid w:val="000A020B"/>
    <w:rsid w:val="000A2504"/>
    <w:rsid w:val="000B0B39"/>
    <w:rsid w:val="000B1DE8"/>
    <w:rsid w:val="000B3D72"/>
    <w:rsid w:val="000B6046"/>
    <w:rsid w:val="000D57BE"/>
    <w:rsid w:val="000F6C00"/>
    <w:rsid w:val="00100085"/>
    <w:rsid w:val="00130CED"/>
    <w:rsid w:val="00134578"/>
    <w:rsid w:val="00134A94"/>
    <w:rsid w:val="0014244E"/>
    <w:rsid w:val="00147DBE"/>
    <w:rsid w:val="00160C1D"/>
    <w:rsid w:val="001746A0"/>
    <w:rsid w:val="00177915"/>
    <w:rsid w:val="001A7948"/>
    <w:rsid w:val="001B2E75"/>
    <w:rsid w:val="001C5B5E"/>
    <w:rsid w:val="001E4389"/>
    <w:rsid w:val="001E68D3"/>
    <w:rsid w:val="001E6E30"/>
    <w:rsid w:val="00202F38"/>
    <w:rsid w:val="002117D0"/>
    <w:rsid w:val="00216420"/>
    <w:rsid w:val="0022481D"/>
    <w:rsid w:val="00232E34"/>
    <w:rsid w:val="00260E28"/>
    <w:rsid w:val="00264017"/>
    <w:rsid w:val="00270CA5"/>
    <w:rsid w:val="00296179"/>
    <w:rsid w:val="002B0FE4"/>
    <w:rsid w:val="002B2ED5"/>
    <w:rsid w:val="002B5515"/>
    <w:rsid w:val="002B71E2"/>
    <w:rsid w:val="002D1CC0"/>
    <w:rsid w:val="002E00F6"/>
    <w:rsid w:val="002E0F0A"/>
    <w:rsid w:val="002E3EB6"/>
    <w:rsid w:val="002E65C1"/>
    <w:rsid w:val="002F47F3"/>
    <w:rsid w:val="00314925"/>
    <w:rsid w:val="0031789D"/>
    <w:rsid w:val="00332136"/>
    <w:rsid w:val="00342434"/>
    <w:rsid w:val="00350B9D"/>
    <w:rsid w:val="00350CD8"/>
    <w:rsid w:val="00351E1E"/>
    <w:rsid w:val="00352487"/>
    <w:rsid w:val="003650D7"/>
    <w:rsid w:val="003720D4"/>
    <w:rsid w:val="00374054"/>
    <w:rsid w:val="003817A4"/>
    <w:rsid w:val="003965B0"/>
    <w:rsid w:val="003A3337"/>
    <w:rsid w:val="003A691D"/>
    <w:rsid w:val="003D1EF0"/>
    <w:rsid w:val="003D3924"/>
    <w:rsid w:val="00404C98"/>
    <w:rsid w:val="00411A52"/>
    <w:rsid w:val="00423458"/>
    <w:rsid w:val="00430E31"/>
    <w:rsid w:val="004405D2"/>
    <w:rsid w:val="00451165"/>
    <w:rsid w:val="00456DB1"/>
    <w:rsid w:val="00460383"/>
    <w:rsid w:val="00463EAB"/>
    <w:rsid w:val="00466280"/>
    <w:rsid w:val="00476F7D"/>
    <w:rsid w:val="00490E53"/>
    <w:rsid w:val="00492EC5"/>
    <w:rsid w:val="00494D38"/>
    <w:rsid w:val="004A0792"/>
    <w:rsid w:val="004B1216"/>
    <w:rsid w:val="004B71B4"/>
    <w:rsid w:val="004C0205"/>
    <w:rsid w:val="004C1467"/>
    <w:rsid w:val="004C62A3"/>
    <w:rsid w:val="004D3914"/>
    <w:rsid w:val="004E28AF"/>
    <w:rsid w:val="004F3CB9"/>
    <w:rsid w:val="004F5FC6"/>
    <w:rsid w:val="00512B74"/>
    <w:rsid w:val="00523F9B"/>
    <w:rsid w:val="005278D6"/>
    <w:rsid w:val="005369ED"/>
    <w:rsid w:val="00541C5F"/>
    <w:rsid w:val="00545D90"/>
    <w:rsid w:val="00551D67"/>
    <w:rsid w:val="00572874"/>
    <w:rsid w:val="00572D3C"/>
    <w:rsid w:val="00596342"/>
    <w:rsid w:val="005A0B57"/>
    <w:rsid w:val="005D576B"/>
    <w:rsid w:val="005E65B0"/>
    <w:rsid w:val="005F0CB4"/>
    <w:rsid w:val="005F1E0E"/>
    <w:rsid w:val="00607D64"/>
    <w:rsid w:val="006124A7"/>
    <w:rsid w:val="00623421"/>
    <w:rsid w:val="006259A1"/>
    <w:rsid w:val="00632034"/>
    <w:rsid w:val="00634D19"/>
    <w:rsid w:val="00643443"/>
    <w:rsid w:val="00655FD6"/>
    <w:rsid w:val="00660FA4"/>
    <w:rsid w:val="00666420"/>
    <w:rsid w:val="00666BE1"/>
    <w:rsid w:val="0067007C"/>
    <w:rsid w:val="00683E90"/>
    <w:rsid w:val="00695CCA"/>
    <w:rsid w:val="006B272E"/>
    <w:rsid w:val="006C1717"/>
    <w:rsid w:val="006E1A5A"/>
    <w:rsid w:val="006E68F4"/>
    <w:rsid w:val="006F7B7D"/>
    <w:rsid w:val="007047E5"/>
    <w:rsid w:val="0070484B"/>
    <w:rsid w:val="00704EF5"/>
    <w:rsid w:val="00740650"/>
    <w:rsid w:val="0074391F"/>
    <w:rsid w:val="00746B38"/>
    <w:rsid w:val="00752FC3"/>
    <w:rsid w:val="007571A9"/>
    <w:rsid w:val="0076193E"/>
    <w:rsid w:val="00766DD1"/>
    <w:rsid w:val="007751B8"/>
    <w:rsid w:val="007755FC"/>
    <w:rsid w:val="0078524C"/>
    <w:rsid w:val="00786BFD"/>
    <w:rsid w:val="00787EA8"/>
    <w:rsid w:val="007B5485"/>
    <w:rsid w:val="007C0469"/>
    <w:rsid w:val="007C310A"/>
    <w:rsid w:val="007D2DD9"/>
    <w:rsid w:val="007D5BA6"/>
    <w:rsid w:val="008025AC"/>
    <w:rsid w:val="00811448"/>
    <w:rsid w:val="00817AA4"/>
    <w:rsid w:val="0082392E"/>
    <w:rsid w:val="008278DB"/>
    <w:rsid w:val="00832A3F"/>
    <w:rsid w:val="00834B8D"/>
    <w:rsid w:val="00840543"/>
    <w:rsid w:val="0087256C"/>
    <w:rsid w:val="00884543"/>
    <w:rsid w:val="0088511B"/>
    <w:rsid w:val="008A58F7"/>
    <w:rsid w:val="008B6871"/>
    <w:rsid w:val="008B68DF"/>
    <w:rsid w:val="008D20D2"/>
    <w:rsid w:val="008D6DA8"/>
    <w:rsid w:val="008D773B"/>
    <w:rsid w:val="00913F68"/>
    <w:rsid w:val="009140AC"/>
    <w:rsid w:val="0091531D"/>
    <w:rsid w:val="009306A4"/>
    <w:rsid w:val="00934E8D"/>
    <w:rsid w:val="00935978"/>
    <w:rsid w:val="00936C9C"/>
    <w:rsid w:val="009614DA"/>
    <w:rsid w:val="00964252"/>
    <w:rsid w:val="009725D2"/>
    <w:rsid w:val="00973187"/>
    <w:rsid w:val="0097776A"/>
    <w:rsid w:val="00977836"/>
    <w:rsid w:val="00986228"/>
    <w:rsid w:val="00996AB4"/>
    <w:rsid w:val="009A2278"/>
    <w:rsid w:val="009A2E41"/>
    <w:rsid w:val="009A7222"/>
    <w:rsid w:val="009B04A7"/>
    <w:rsid w:val="009B1F75"/>
    <w:rsid w:val="009C0E81"/>
    <w:rsid w:val="009C1638"/>
    <w:rsid w:val="009E0438"/>
    <w:rsid w:val="009E301F"/>
    <w:rsid w:val="009E4E97"/>
    <w:rsid w:val="009F4C14"/>
    <w:rsid w:val="00A02C34"/>
    <w:rsid w:val="00A06AFD"/>
    <w:rsid w:val="00A23A19"/>
    <w:rsid w:val="00A32B74"/>
    <w:rsid w:val="00A35B47"/>
    <w:rsid w:val="00A46265"/>
    <w:rsid w:val="00A46A5E"/>
    <w:rsid w:val="00A474D0"/>
    <w:rsid w:val="00A510F7"/>
    <w:rsid w:val="00A615F0"/>
    <w:rsid w:val="00A66CC8"/>
    <w:rsid w:val="00A66DEE"/>
    <w:rsid w:val="00A733F1"/>
    <w:rsid w:val="00A73AA8"/>
    <w:rsid w:val="00A7715B"/>
    <w:rsid w:val="00A8258D"/>
    <w:rsid w:val="00A846BB"/>
    <w:rsid w:val="00A96BE0"/>
    <w:rsid w:val="00AA1487"/>
    <w:rsid w:val="00AC06A5"/>
    <w:rsid w:val="00AC7561"/>
    <w:rsid w:val="00AD002A"/>
    <w:rsid w:val="00AD0E7E"/>
    <w:rsid w:val="00AD210E"/>
    <w:rsid w:val="00AE6984"/>
    <w:rsid w:val="00B00C68"/>
    <w:rsid w:val="00B013DF"/>
    <w:rsid w:val="00B01884"/>
    <w:rsid w:val="00B0387D"/>
    <w:rsid w:val="00B04B5A"/>
    <w:rsid w:val="00B226E8"/>
    <w:rsid w:val="00B23941"/>
    <w:rsid w:val="00B30023"/>
    <w:rsid w:val="00B3151A"/>
    <w:rsid w:val="00B42414"/>
    <w:rsid w:val="00B446B0"/>
    <w:rsid w:val="00B47162"/>
    <w:rsid w:val="00B47783"/>
    <w:rsid w:val="00B504B7"/>
    <w:rsid w:val="00B724BA"/>
    <w:rsid w:val="00B756A4"/>
    <w:rsid w:val="00B83BD7"/>
    <w:rsid w:val="00B8454B"/>
    <w:rsid w:val="00B85C55"/>
    <w:rsid w:val="00B92A1A"/>
    <w:rsid w:val="00B941C0"/>
    <w:rsid w:val="00B959F1"/>
    <w:rsid w:val="00BB2C9F"/>
    <w:rsid w:val="00BB432B"/>
    <w:rsid w:val="00BB73FA"/>
    <w:rsid w:val="00BE6ED2"/>
    <w:rsid w:val="00C01ECD"/>
    <w:rsid w:val="00C11523"/>
    <w:rsid w:val="00C16633"/>
    <w:rsid w:val="00C17519"/>
    <w:rsid w:val="00C244B6"/>
    <w:rsid w:val="00C3040F"/>
    <w:rsid w:val="00C33CBA"/>
    <w:rsid w:val="00C46700"/>
    <w:rsid w:val="00C6451D"/>
    <w:rsid w:val="00C71562"/>
    <w:rsid w:val="00C81F6B"/>
    <w:rsid w:val="00CA5709"/>
    <w:rsid w:val="00CB0D75"/>
    <w:rsid w:val="00CB2559"/>
    <w:rsid w:val="00CB34A6"/>
    <w:rsid w:val="00CC47DD"/>
    <w:rsid w:val="00CD56E4"/>
    <w:rsid w:val="00CD5DEC"/>
    <w:rsid w:val="00CD7BB8"/>
    <w:rsid w:val="00CE694A"/>
    <w:rsid w:val="00D00076"/>
    <w:rsid w:val="00D00F70"/>
    <w:rsid w:val="00D13A63"/>
    <w:rsid w:val="00D26174"/>
    <w:rsid w:val="00D262F4"/>
    <w:rsid w:val="00D34DCC"/>
    <w:rsid w:val="00D42663"/>
    <w:rsid w:val="00D56D05"/>
    <w:rsid w:val="00D74E82"/>
    <w:rsid w:val="00D76758"/>
    <w:rsid w:val="00D7758D"/>
    <w:rsid w:val="00D81A93"/>
    <w:rsid w:val="00D820EE"/>
    <w:rsid w:val="00D918DE"/>
    <w:rsid w:val="00DA49E9"/>
    <w:rsid w:val="00DC12BB"/>
    <w:rsid w:val="00DD57F8"/>
    <w:rsid w:val="00DD5F5E"/>
    <w:rsid w:val="00E058C1"/>
    <w:rsid w:val="00E304EF"/>
    <w:rsid w:val="00E33F5E"/>
    <w:rsid w:val="00E41C0A"/>
    <w:rsid w:val="00E446AF"/>
    <w:rsid w:val="00E46AD6"/>
    <w:rsid w:val="00E5549A"/>
    <w:rsid w:val="00E6338C"/>
    <w:rsid w:val="00E84A1F"/>
    <w:rsid w:val="00EA1A3E"/>
    <w:rsid w:val="00EA1DA6"/>
    <w:rsid w:val="00EA651B"/>
    <w:rsid w:val="00EB6A6E"/>
    <w:rsid w:val="00EB6AB4"/>
    <w:rsid w:val="00EC0ECE"/>
    <w:rsid w:val="00EC5964"/>
    <w:rsid w:val="00ED0C39"/>
    <w:rsid w:val="00EE11F2"/>
    <w:rsid w:val="00EE1F67"/>
    <w:rsid w:val="00EE53AC"/>
    <w:rsid w:val="00EE72B4"/>
    <w:rsid w:val="00EF4E02"/>
    <w:rsid w:val="00F05D39"/>
    <w:rsid w:val="00F3046A"/>
    <w:rsid w:val="00F67323"/>
    <w:rsid w:val="00F70148"/>
    <w:rsid w:val="00F759F3"/>
    <w:rsid w:val="00F76AA2"/>
    <w:rsid w:val="00F83490"/>
    <w:rsid w:val="00F862B6"/>
    <w:rsid w:val="00F92C22"/>
    <w:rsid w:val="00FA447D"/>
    <w:rsid w:val="00FB0E4E"/>
    <w:rsid w:val="00FB29B4"/>
    <w:rsid w:val="00FB7A26"/>
    <w:rsid w:val="00FE1B43"/>
    <w:rsid w:val="00FF5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oNotEmbedSmartTags/>
  <w:decimalSymbol w:val="."/>
  <w:listSeparator w:val=","/>
  <w15:docId w15:val="{FF8E52FF-8DA4-4402-AC6D-CF870E1443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0B9D"/>
    <w:pPr>
      <w:overflowPunct w:val="0"/>
      <w:autoSpaceDE w:val="0"/>
      <w:autoSpaceDN w:val="0"/>
      <w:adjustRightInd w:val="0"/>
      <w:textAlignment w:val="baseline"/>
    </w:pPr>
    <w:rPr>
      <w:rFonts w:ascii="Times" w:eastAsia="PMingLiU" w:hAnsi="Times" w:cs="Times"/>
      <w:lang w:val="en-AU" w:eastAsia="zh-TW"/>
    </w:rPr>
  </w:style>
  <w:style w:type="paragraph" w:styleId="Heading1">
    <w:name w:val="heading 1"/>
    <w:basedOn w:val="DefaultParagraphFont1"/>
    <w:next w:val="DefaultParagraphFont1"/>
    <w:link w:val="Heading1Char"/>
    <w:qFormat/>
    <w:rsid w:val="00350B9D"/>
    <w:pPr>
      <w:keepNext/>
      <w:spacing w:before="240" w:after="60"/>
      <w:outlineLvl w:val="0"/>
    </w:pPr>
    <w:rPr>
      <w:rFonts w:cs="Times New Roman"/>
      <w:b/>
      <w:bCs/>
      <w:sz w:val="28"/>
      <w:szCs w:val="28"/>
    </w:rPr>
  </w:style>
  <w:style w:type="paragraph" w:styleId="Heading2">
    <w:name w:val="heading 2"/>
    <w:basedOn w:val="DefaultParagraphFont1"/>
    <w:next w:val="DefaultParagraphFont1"/>
    <w:qFormat/>
    <w:rsid w:val="00350B9D"/>
    <w:pPr>
      <w:keepNext/>
      <w:spacing w:before="240" w:after="60"/>
      <w:outlineLvl w:val="1"/>
    </w:pPr>
    <w:rPr>
      <w:b/>
      <w:bCs/>
      <w:i/>
      <w:iCs/>
      <w:sz w:val="24"/>
      <w:szCs w:val="24"/>
    </w:rPr>
  </w:style>
  <w:style w:type="paragraph" w:styleId="Heading3">
    <w:name w:val="heading 3"/>
    <w:basedOn w:val="DefaultParagraphFont1"/>
    <w:next w:val="DefaultParagraphFont1"/>
    <w:qFormat/>
    <w:rsid w:val="00350B9D"/>
    <w:pPr>
      <w:keepNext/>
      <w:spacing w:before="240" w:after="60"/>
      <w:outlineLvl w:val="2"/>
    </w:pPr>
    <w:rPr>
      <w:b/>
      <w:bCs/>
      <w:sz w:val="24"/>
      <w:szCs w:val="24"/>
    </w:rPr>
  </w:style>
  <w:style w:type="paragraph" w:styleId="Heading4">
    <w:name w:val="heading 4"/>
    <w:basedOn w:val="Normal"/>
    <w:next w:val="Normal"/>
    <w:link w:val="Heading4Char"/>
    <w:qFormat/>
    <w:rsid w:val="00D81A93"/>
    <w:pPr>
      <w:tabs>
        <w:tab w:val="num" w:pos="630"/>
        <w:tab w:val="left" w:pos="720"/>
      </w:tabs>
      <w:overflowPunct/>
      <w:autoSpaceDE/>
      <w:autoSpaceDN/>
      <w:adjustRightInd/>
      <w:spacing w:before="40" w:after="40"/>
      <w:ind w:firstLine="360"/>
      <w:jc w:val="both"/>
      <w:textAlignment w:val="auto"/>
      <w:outlineLvl w:val="3"/>
    </w:pPr>
    <w:rPr>
      <w:rFonts w:ascii="Times New Roman" w:eastAsia="SimSun" w:hAnsi="Times New Roman" w:cs="Times New Roman"/>
      <w:i/>
      <w:iCs/>
      <w:noProof/>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ParagraphFont1">
    <w:name w:val="Default Paragraph Font1"/>
    <w:next w:val="Normal"/>
    <w:rsid w:val="00350B9D"/>
    <w:pPr>
      <w:overflowPunct w:val="0"/>
      <w:autoSpaceDE w:val="0"/>
      <w:autoSpaceDN w:val="0"/>
      <w:adjustRightInd w:val="0"/>
      <w:textAlignment w:val="baseline"/>
    </w:pPr>
    <w:rPr>
      <w:rFonts w:ascii="Times" w:eastAsia="PMingLiU" w:hAnsi="Times" w:cs="Times"/>
      <w:lang w:eastAsia="zh-TW"/>
    </w:rPr>
  </w:style>
  <w:style w:type="paragraph" w:styleId="NormalIndent">
    <w:name w:val="Normal Indent"/>
    <w:basedOn w:val="Normal"/>
    <w:rsid w:val="00350B9D"/>
    <w:pPr>
      <w:ind w:left="720"/>
    </w:pPr>
  </w:style>
  <w:style w:type="character" w:customStyle="1" w:styleId="nsfaddress">
    <w:name w:val="nsfaddress"/>
    <w:basedOn w:val="DefaultParagraphFont"/>
    <w:rsid w:val="00260E28"/>
  </w:style>
  <w:style w:type="character" w:styleId="Hyperlink">
    <w:name w:val="Hyperlink"/>
    <w:rsid w:val="00964252"/>
    <w:rPr>
      <w:color w:val="auto"/>
      <w:u w:val="single"/>
    </w:rPr>
  </w:style>
  <w:style w:type="character" w:styleId="Strong">
    <w:name w:val="Strong"/>
    <w:uiPriority w:val="22"/>
    <w:qFormat/>
    <w:rsid w:val="008D20D2"/>
    <w:rPr>
      <w:b/>
      <w:bCs/>
    </w:rPr>
  </w:style>
  <w:style w:type="paragraph" w:styleId="FootnoteText">
    <w:name w:val="footnote text"/>
    <w:basedOn w:val="Normal"/>
    <w:semiHidden/>
    <w:rsid w:val="00D74E82"/>
  </w:style>
  <w:style w:type="character" w:styleId="FootnoteReference">
    <w:name w:val="footnote reference"/>
    <w:semiHidden/>
    <w:rsid w:val="00D74E82"/>
    <w:rPr>
      <w:vertAlign w:val="superscript"/>
    </w:rPr>
  </w:style>
  <w:style w:type="table" w:styleId="TableGrid">
    <w:name w:val="Table Grid"/>
    <w:basedOn w:val="TableNormal"/>
    <w:uiPriority w:val="59"/>
    <w:rsid w:val="00655FD6"/>
    <w:pPr>
      <w:overflowPunct w:val="0"/>
      <w:autoSpaceDE w:val="0"/>
      <w:autoSpaceDN w:val="0"/>
      <w:adjustRightInd w:val="0"/>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B3D72"/>
    <w:rPr>
      <w:rFonts w:ascii="Arial" w:hAnsi="Arial" w:cs="Times New Roman"/>
      <w:sz w:val="16"/>
      <w:szCs w:val="16"/>
    </w:rPr>
  </w:style>
  <w:style w:type="character" w:customStyle="1" w:styleId="apple-converted-space">
    <w:name w:val="apple-converted-space"/>
    <w:rsid w:val="003A691D"/>
  </w:style>
  <w:style w:type="paragraph" w:styleId="ListParagraph">
    <w:name w:val="List Paragraph"/>
    <w:basedOn w:val="Normal"/>
    <w:uiPriority w:val="34"/>
    <w:qFormat/>
    <w:rsid w:val="00786BFD"/>
    <w:pPr>
      <w:overflowPunct/>
      <w:spacing w:line="360" w:lineRule="auto"/>
      <w:ind w:left="720"/>
      <w:contextualSpacing/>
      <w:jc w:val="both"/>
      <w:textAlignment w:val="auto"/>
    </w:pPr>
    <w:rPr>
      <w:rFonts w:ascii="Times New Roman" w:eastAsia="Calibri" w:hAnsi="Times New Roman" w:cs="Times New Roman"/>
      <w:color w:val="131413"/>
      <w:sz w:val="24"/>
      <w:szCs w:val="24"/>
      <w:lang w:val="en-IN" w:eastAsia="en-US"/>
    </w:rPr>
  </w:style>
  <w:style w:type="paragraph" w:customStyle="1" w:styleId="Default">
    <w:name w:val="Default"/>
    <w:rsid w:val="00296179"/>
    <w:pPr>
      <w:autoSpaceDE w:val="0"/>
      <w:autoSpaceDN w:val="0"/>
      <w:adjustRightInd w:val="0"/>
    </w:pPr>
    <w:rPr>
      <w:rFonts w:eastAsia="Calibri"/>
      <w:color w:val="000000"/>
      <w:sz w:val="24"/>
      <w:szCs w:val="24"/>
      <w:lang w:val="en-IN"/>
    </w:rPr>
  </w:style>
  <w:style w:type="character" w:customStyle="1" w:styleId="Heading1Char">
    <w:name w:val="Heading 1 Char"/>
    <w:link w:val="Heading1"/>
    <w:uiPriority w:val="9"/>
    <w:rsid w:val="005A0B57"/>
    <w:rPr>
      <w:rFonts w:ascii="Times" w:eastAsia="PMingLiU" w:hAnsi="Times" w:cs="Times"/>
      <w:b/>
      <w:bCs/>
      <w:sz w:val="28"/>
      <w:szCs w:val="28"/>
      <w:lang w:val="en-US" w:eastAsia="zh-TW"/>
    </w:rPr>
  </w:style>
  <w:style w:type="paragraph" w:styleId="Bibliography">
    <w:name w:val="Bibliography"/>
    <w:basedOn w:val="Normal"/>
    <w:next w:val="Normal"/>
    <w:uiPriority w:val="37"/>
    <w:unhideWhenUsed/>
    <w:rsid w:val="005A0B57"/>
  </w:style>
  <w:style w:type="character" w:styleId="CommentReference">
    <w:name w:val="annotation reference"/>
    <w:basedOn w:val="DefaultParagraphFont"/>
    <w:uiPriority w:val="99"/>
    <w:semiHidden/>
    <w:unhideWhenUsed/>
    <w:rsid w:val="00B01884"/>
    <w:rPr>
      <w:sz w:val="16"/>
      <w:szCs w:val="16"/>
    </w:rPr>
  </w:style>
  <w:style w:type="paragraph" w:styleId="CommentText">
    <w:name w:val="annotation text"/>
    <w:basedOn w:val="Normal"/>
    <w:link w:val="CommentTextChar"/>
    <w:uiPriority w:val="99"/>
    <w:semiHidden/>
    <w:unhideWhenUsed/>
    <w:rsid w:val="00B01884"/>
  </w:style>
  <w:style w:type="character" w:customStyle="1" w:styleId="CommentTextChar">
    <w:name w:val="Comment Text Char"/>
    <w:basedOn w:val="DefaultParagraphFont"/>
    <w:link w:val="CommentText"/>
    <w:uiPriority w:val="99"/>
    <w:semiHidden/>
    <w:rsid w:val="00B01884"/>
    <w:rPr>
      <w:rFonts w:ascii="Times" w:eastAsia="PMingLiU" w:hAnsi="Times" w:cs="Times"/>
      <w:lang w:val="en-AU" w:eastAsia="zh-TW"/>
    </w:rPr>
  </w:style>
  <w:style w:type="paragraph" w:styleId="CommentSubject">
    <w:name w:val="annotation subject"/>
    <w:basedOn w:val="CommentText"/>
    <w:next w:val="CommentText"/>
    <w:link w:val="CommentSubjectChar"/>
    <w:uiPriority w:val="99"/>
    <w:semiHidden/>
    <w:unhideWhenUsed/>
    <w:rsid w:val="00B01884"/>
    <w:rPr>
      <w:b/>
      <w:bCs/>
    </w:rPr>
  </w:style>
  <w:style w:type="character" w:customStyle="1" w:styleId="CommentSubjectChar">
    <w:name w:val="Comment Subject Char"/>
    <w:basedOn w:val="CommentTextChar"/>
    <w:link w:val="CommentSubject"/>
    <w:uiPriority w:val="99"/>
    <w:semiHidden/>
    <w:rsid w:val="00B01884"/>
    <w:rPr>
      <w:rFonts w:ascii="Times" w:eastAsia="PMingLiU" w:hAnsi="Times" w:cs="Times"/>
      <w:b/>
      <w:bCs/>
      <w:lang w:val="en-AU" w:eastAsia="zh-TW"/>
    </w:rPr>
  </w:style>
  <w:style w:type="character" w:customStyle="1" w:styleId="Heading4Char">
    <w:name w:val="Heading 4 Char"/>
    <w:basedOn w:val="DefaultParagraphFont"/>
    <w:link w:val="Heading4"/>
    <w:rsid w:val="00D81A93"/>
    <w:rPr>
      <w:i/>
      <w:iCs/>
      <w:noProof/>
    </w:rPr>
  </w:style>
  <w:style w:type="paragraph" w:styleId="Caption">
    <w:name w:val="caption"/>
    <w:basedOn w:val="Normal"/>
    <w:next w:val="Normal"/>
    <w:uiPriority w:val="35"/>
    <w:unhideWhenUsed/>
    <w:qFormat/>
    <w:rsid w:val="009E301F"/>
    <w:pPr>
      <w:overflowPunct/>
      <w:jc w:val="both"/>
      <w:textAlignment w:val="auto"/>
    </w:pPr>
    <w:rPr>
      <w:rFonts w:ascii="Times New Roman" w:eastAsiaTheme="minorHAnsi" w:hAnsi="Times New Roman" w:cs="Times New Roman"/>
      <w:b/>
      <w:bCs/>
      <w:color w:val="4F81BD" w:themeColor="accent1"/>
      <w:sz w:val="18"/>
      <w:szCs w:val="18"/>
      <w:lang w:val="en-IN" w:eastAsia="en-US"/>
    </w:rPr>
  </w:style>
  <w:style w:type="table" w:customStyle="1" w:styleId="TableGrid1">
    <w:name w:val="Table Grid1"/>
    <w:basedOn w:val="TableNormal"/>
    <w:next w:val="TableGrid"/>
    <w:uiPriority w:val="59"/>
    <w:rsid w:val="009E301F"/>
    <w:rPr>
      <w:rFonts w:asciiTheme="minorHAnsi" w:eastAsiaTheme="minorHAnsi" w:hAnsiTheme="minorHAnsi" w:cstheme="minorBidi"/>
      <w:sz w:val="22"/>
      <w:szCs w:val="22"/>
      <w:lang w:val="en-I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
    <w:name w:val="Pa0"/>
    <w:basedOn w:val="Default"/>
    <w:next w:val="Default"/>
    <w:uiPriority w:val="99"/>
    <w:rsid w:val="000476BC"/>
    <w:pPr>
      <w:spacing w:line="241" w:lineRule="atLeast"/>
    </w:pPr>
    <w:rPr>
      <w:rFonts w:ascii="Univers 45 Light" w:eastAsia="Times New Roman" w:hAnsi="Univers 45 Light"/>
      <w:color w:val="auto"/>
      <w:lang w:eastAsia="en-IN"/>
    </w:rPr>
  </w:style>
  <w:style w:type="character" w:customStyle="1" w:styleId="A1">
    <w:name w:val="A1"/>
    <w:uiPriority w:val="99"/>
    <w:rsid w:val="000476BC"/>
    <w:rPr>
      <w:color w:val="000000"/>
      <w:sz w:val="5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7873717">
      <w:bodyDiv w:val="1"/>
      <w:marLeft w:val="0"/>
      <w:marRight w:val="0"/>
      <w:marTop w:val="0"/>
      <w:marBottom w:val="0"/>
      <w:divBdr>
        <w:top w:val="none" w:sz="0" w:space="0" w:color="auto"/>
        <w:left w:val="none" w:sz="0" w:space="0" w:color="auto"/>
        <w:bottom w:val="none" w:sz="0" w:space="0" w:color="auto"/>
        <w:right w:val="none" w:sz="0" w:space="0" w:color="auto"/>
      </w:divBdr>
    </w:div>
    <w:div w:id="968706597">
      <w:bodyDiv w:val="1"/>
      <w:marLeft w:val="0"/>
      <w:marRight w:val="0"/>
      <w:marTop w:val="0"/>
      <w:marBottom w:val="0"/>
      <w:divBdr>
        <w:top w:val="none" w:sz="0" w:space="0" w:color="auto"/>
        <w:left w:val="none" w:sz="0" w:space="0" w:color="auto"/>
        <w:bottom w:val="none" w:sz="0" w:space="0" w:color="auto"/>
        <w:right w:val="none" w:sz="0" w:space="0" w:color="auto"/>
      </w:divBdr>
    </w:div>
    <w:div w:id="1287203044">
      <w:bodyDiv w:val="1"/>
      <w:marLeft w:val="0"/>
      <w:marRight w:val="0"/>
      <w:marTop w:val="0"/>
      <w:marBottom w:val="0"/>
      <w:divBdr>
        <w:top w:val="none" w:sz="0" w:space="0" w:color="auto"/>
        <w:left w:val="none" w:sz="0" w:space="0" w:color="auto"/>
        <w:bottom w:val="none" w:sz="0" w:space="0" w:color="auto"/>
        <w:right w:val="none" w:sz="0" w:space="0" w:color="auto"/>
      </w:divBdr>
    </w:div>
    <w:div w:id="1882402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omputerweekly.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mt12nirmaljeet.CUPSTUDENT.000\Desktop\N%20proposed.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t12nirmaljeet.CUPSTUDENT.000\Desktop\N%20proposed.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MM</c:v>
          </c:tx>
          <c:spPr>
            <a:solidFill>
              <a:schemeClr val="accent1"/>
            </a:solidFill>
            <a:ln>
              <a:noFill/>
            </a:ln>
            <a:effectLst/>
          </c:spPr>
          <c:invertIfNegative val="0"/>
          <c:cat>
            <c:numRef>
              <c:f>Sheet1!$E$6:$E$12</c:f>
              <c:numCache>
                <c:formatCode>General</c:formatCode>
                <c:ptCount val="7"/>
                <c:pt idx="0">
                  <c:v>1</c:v>
                </c:pt>
                <c:pt idx="1">
                  <c:v>0.9</c:v>
                </c:pt>
                <c:pt idx="2">
                  <c:v>0.8</c:v>
                </c:pt>
                <c:pt idx="3">
                  <c:v>0.70000000000000062</c:v>
                </c:pt>
                <c:pt idx="4">
                  <c:v>0.60000000000000064</c:v>
                </c:pt>
                <c:pt idx="5">
                  <c:v>0.5</c:v>
                </c:pt>
                <c:pt idx="6">
                  <c:v>0.4</c:v>
                </c:pt>
              </c:numCache>
            </c:numRef>
          </c:cat>
          <c:val>
            <c:numRef>
              <c:f>Sheet1!$F$6:$F$12</c:f>
              <c:numCache>
                <c:formatCode>General</c:formatCode>
                <c:ptCount val="7"/>
                <c:pt idx="0">
                  <c:v>40.847452999999994</c:v>
                </c:pt>
                <c:pt idx="1">
                  <c:v>77.05</c:v>
                </c:pt>
                <c:pt idx="2">
                  <c:v>83.552243000000004</c:v>
                </c:pt>
                <c:pt idx="3">
                  <c:v>91.928022999999982</c:v>
                </c:pt>
                <c:pt idx="4">
                  <c:v>97.031111999999993</c:v>
                </c:pt>
                <c:pt idx="5">
                  <c:v>111.72461100000002</c:v>
                </c:pt>
                <c:pt idx="6">
                  <c:v>123.34681</c:v>
                </c:pt>
              </c:numCache>
            </c:numRef>
          </c:val>
        </c:ser>
        <c:ser>
          <c:idx val="1"/>
          <c:order val="1"/>
          <c:tx>
            <c:v>RS</c:v>
          </c:tx>
          <c:spPr>
            <a:solidFill>
              <a:schemeClr val="accent2"/>
            </a:solidFill>
            <a:ln>
              <a:noFill/>
            </a:ln>
            <a:effectLst/>
          </c:spPr>
          <c:invertIfNegative val="0"/>
          <c:cat>
            <c:numRef>
              <c:f>Sheet1!$E$6:$E$12</c:f>
              <c:numCache>
                <c:formatCode>General</c:formatCode>
                <c:ptCount val="7"/>
                <c:pt idx="0">
                  <c:v>1</c:v>
                </c:pt>
                <c:pt idx="1">
                  <c:v>0.9</c:v>
                </c:pt>
                <c:pt idx="2">
                  <c:v>0.8</c:v>
                </c:pt>
                <c:pt idx="3">
                  <c:v>0.70000000000000062</c:v>
                </c:pt>
                <c:pt idx="4">
                  <c:v>0.60000000000000064</c:v>
                </c:pt>
                <c:pt idx="5">
                  <c:v>0.5</c:v>
                </c:pt>
                <c:pt idx="6">
                  <c:v>0.4</c:v>
                </c:pt>
              </c:numCache>
            </c:numRef>
          </c:cat>
          <c:val>
            <c:numRef>
              <c:f>Sheet1!$G$6:$G$12</c:f>
              <c:numCache>
                <c:formatCode>General</c:formatCode>
                <c:ptCount val="7"/>
                <c:pt idx="0">
                  <c:v>184.66</c:v>
                </c:pt>
                <c:pt idx="1">
                  <c:v>215.48000000000027</c:v>
                </c:pt>
                <c:pt idx="2">
                  <c:v>222.43</c:v>
                </c:pt>
                <c:pt idx="3">
                  <c:v>239.8200000000007</c:v>
                </c:pt>
                <c:pt idx="4">
                  <c:v>271.01</c:v>
                </c:pt>
                <c:pt idx="5">
                  <c:v>302.37</c:v>
                </c:pt>
                <c:pt idx="6">
                  <c:v>330.82</c:v>
                </c:pt>
              </c:numCache>
            </c:numRef>
          </c:val>
        </c:ser>
        <c:ser>
          <c:idx val="2"/>
          <c:order val="2"/>
          <c:tx>
            <c:v>MMT</c:v>
          </c:tx>
          <c:spPr>
            <a:solidFill>
              <a:schemeClr val="accent3"/>
            </a:solidFill>
            <a:ln>
              <a:noFill/>
            </a:ln>
            <a:effectLst/>
          </c:spPr>
          <c:invertIfNegative val="0"/>
          <c:cat>
            <c:numRef>
              <c:f>Sheet1!$E$6:$E$12</c:f>
              <c:numCache>
                <c:formatCode>General</c:formatCode>
                <c:ptCount val="7"/>
                <c:pt idx="0">
                  <c:v>1</c:v>
                </c:pt>
                <c:pt idx="1">
                  <c:v>0.9</c:v>
                </c:pt>
                <c:pt idx="2">
                  <c:v>0.8</c:v>
                </c:pt>
                <c:pt idx="3">
                  <c:v>0.70000000000000062</c:v>
                </c:pt>
                <c:pt idx="4">
                  <c:v>0.60000000000000064</c:v>
                </c:pt>
                <c:pt idx="5">
                  <c:v>0.5</c:v>
                </c:pt>
                <c:pt idx="6">
                  <c:v>0.4</c:v>
                </c:pt>
              </c:numCache>
            </c:numRef>
          </c:cat>
          <c:val>
            <c:numRef>
              <c:f>Sheet1!$H$6:$H$12</c:f>
              <c:numCache>
                <c:formatCode>General</c:formatCode>
                <c:ptCount val="7"/>
                <c:pt idx="0">
                  <c:v>174.29</c:v>
                </c:pt>
                <c:pt idx="1">
                  <c:v>212.83</c:v>
                </c:pt>
                <c:pt idx="2">
                  <c:v>221.29</c:v>
                </c:pt>
                <c:pt idx="3">
                  <c:v>230.63</c:v>
                </c:pt>
                <c:pt idx="4">
                  <c:v>261.91999999999899</c:v>
                </c:pt>
                <c:pt idx="5">
                  <c:v>293.28999999999894</c:v>
                </c:pt>
                <c:pt idx="6">
                  <c:v>325.63</c:v>
                </c:pt>
              </c:numCache>
            </c:numRef>
          </c:val>
        </c:ser>
        <c:ser>
          <c:idx val="3"/>
          <c:order val="3"/>
          <c:tx>
            <c:v>Proosed Work</c:v>
          </c:tx>
          <c:spPr>
            <a:solidFill>
              <a:schemeClr val="accent4"/>
            </a:solidFill>
            <a:ln>
              <a:noFill/>
            </a:ln>
            <a:effectLst/>
          </c:spPr>
          <c:invertIfNegative val="0"/>
          <c:cat>
            <c:numRef>
              <c:f>Sheet1!$E$6:$E$12</c:f>
              <c:numCache>
                <c:formatCode>General</c:formatCode>
                <c:ptCount val="7"/>
                <c:pt idx="0">
                  <c:v>1</c:v>
                </c:pt>
                <c:pt idx="1">
                  <c:v>0.9</c:v>
                </c:pt>
                <c:pt idx="2">
                  <c:v>0.8</c:v>
                </c:pt>
                <c:pt idx="3">
                  <c:v>0.70000000000000062</c:v>
                </c:pt>
                <c:pt idx="4">
                  <c:v>0.60000000000000064</c:v>
                </c:pt>
                <c:pt idx="5">
                  <c:v>0.5</c:v>
                </c:pt>
                <c:pt idx="6">
                  <c:v>0.4</c:v>
                </c:pt>
              </c:numCache>
            </c:numRef>
          </c:cat>
          <c:val>
            <c:numRef>
              <c:f>Sheet1!$I$6:$I$12</c:f>
              <c:numCache>
                <c:formatCode>General</c:formatCode>
                <c:ptCount val="7"/>
                <c:pt idx="0">
                  <c:v>40.847452999999994</c:v>
                </c:pt>
                <c:pt idx="1">
                  <c:v>77.906898999999981</c:v>
                </c:pt>
                <c:pt idx="2">
                  <c:v>87.109620000000007</c:v>
                </c:pt>
                <c:pt idx="3">
                  <c:v>93.237516999999997</c:v>
                </c:pt>
                <c:pt idx="4">
                  <c:v>100.66678699999964</c:v>
                </c:pt>
                <c:pt idx="5">
                  <c:v>114.91900900000037</c:v>
                </c:pt>
                <c:pt idx="6">
                  <c:v>126.39432300000036</c:v>
                </c:pt>
              </c:numCache>
            </c:numRef>
          </c:val>
        </c:ser>
        <c:dLbls>
          <c:showLegendKey val="0"/>
          <c:showVal val="0"/>
          <c:showCatName val="0"/>
          <c:showSerName val="0"/>
          <c:showPercent val="0"/>
          <c:showBubbleSize val="0"/>
        </c:dLbls>
        <c:gapWidth val="150"/>
        <c:axId val="241051952"/>
        <c:axId val="366706368"/>
      </c:barChart>
      <c:catAx>
        <c:axId val="2410519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Upper</a:t>
                </a:r>
                <a:r>
                  <a:rPr lang="en-IN" baseline="0"/>
                  <a:t> utilization</a:t>
                </a:r>
                <a:endParaRPr lang="en-IN"/>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6706368"/>
        <c:crosses val="autoZero"/>
        <c:auto val="1"/>
        <c:lblAlgn val="ctr"/>
        <c:lblOffset val="100"/>
        <c:noMultiLvlLbl val="0"/>
      </c:catAx>
      <c:valAx>
        <c:axId val="366706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Energy Consumption,</a:t>
                </a:r>
                <a:r>
                  <a:rPr lang="en-IN" baseline="0"/>
                  <a:t> KWH</a:t>
                </a:r>
                <a:endParaRPr lang="en-IN"/>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10519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230550576260309"/>
          <c:y val="5.81597366325627E-2"/>
          <c:w val="0.54016097665275176"/>
          <c:h val="0.65797209134055434"/>
        </c:manualLayout>
      </c:layout>
      <c:barChart>
        <c:barDir val="col"/>
        <c:grouping val="clustered"/>
        <c:varyColors val="0"/>
        <c:ser>
          <c:idx val="0"/>
          <c:order val="0"/>
          <c:tx>
            <c:v>MM</c:v>
          </c:tx>
          <c:spPr>
            <a:solidFill>
              <a:schemeClr val="accent1"/>
            </a:solidFill>
            <a:ln>
              <a:noFill/>
            </a:ln>
            <a:effectLst/>
          </c:spPr>
          <c:invertIfNegative val="0"/>
          <c:cat>
            <c:numRef>
              <c:f>Sheet4!$E$5:$E$11</c:f>
              <c:numCache>
                <c:formatCode>General</c:formatCode>
                <c:ptCount val="7"/>
                <c:pt idx="0">
                  <c:v>1</c:v>
                </c:pt>
                <c:pt idx="1">
                  <c:v>0.9</c:v>
                </c:pt>
                <c:pt idx="2">
                  <c:v>0.8</c:v>
                </c:pt>
                <c:pt idx="3">
                  <c:v>0.70000000000000062</c:v>
                </c:pt>
                <c:pt idx="4">
                  <c:v>0.60000000000000064</c:v>
                </c:pt>
                <c:pt idx="5">
                  <c:v>0.5</c:v>
                </c:pt>
                <c:pt idx="6">
                  <c:v>0.4</c:v>
                </c:pt>
              </c:numCache>
            </c:numRef>
          </c:cat>
          <c:val>
            <c:numRef>
              <c:f>Sheet4!$F$5:$F$11</c:f>
              <c:numCache>
                <c:formatCode>General</c:formatCode>
                <c:ptCount val="7"/>
                <c:pt idx="0">
                  <c:v>32.67</c:v>
                </c:pt>
                <c:pt idx="1">
                  <c:v>15.56</c:v>
                </c:pt>
                <c:pt idx="2">
                  <c:v>12.76</c:v>
                </c:pt>
                <c:pt idx="3">
                  <c:v>9.5400000000000009</c:v>
                </c:pt>
                <c:pt idx="4">
                  <c:v>11.94</c:v>
                </c:pt>
                <c:pt idx="5">
                  <c:v>11.6</c:v>
                </c:pt>
                <c:pt idx="6">
                  <c:v>12.370000000000006</c:v>
                </c:pt>
              </c:numCache>
            </c:numRef>
          </c:val>
        </c:ser>
        <c:ser>
          <c:idx val="1"/>
          <c:order val="1"/>
          <c:tx>
            <c:v>RS</c:v>
          </c:tx>
          <c:spPr>
            <a:solidFill>
              <a:schemeClr val="accent2"/>
            </a:solidFill>
            <a:ln>
              <a:noFill/>
            </a:ln>
            <a:effectLst/>
          </c:spPr>
          <c:invertIfNegative val="0"/>
          <c:cat>
            <c:numRef>
              <c:f>Sheet4!$E$5:$E$11</c:f>
              <c:numCache>
                <c:formatCode>General</c:formatCode>
                <c:ptCount val="7"/>
                <c:pt idx="0">
                  <c:v>1</c:v>
                </c:pt>
                <c:pt idx="1">
                  <c:v>0.9</c:v>
                </c:pt>
                <c:pt idx="2">
                  <c:v>0.8</c:v>
                </c:pt>
                <c:pt idx="3">
                  <c:v>0.70000000000000062</c:v>
                </c:pt>
                <c:pt idx="4">
                  <c:v>0.60000000000000064</c:v>
                </c:pt>
                <c:pt idx="5">
                  <c:v>0.5</c:v>
                </c:pt>
                <c:pt idx="6">
                  <c:v>0.4</c:v>
                </c:pt>
              </c:numCache>
            </c:numRef>
          </c:cat>
          <c:val>
            <c:numRef>
              <c:f>Sheet4!$G$5:$G$11</c:f>
              <c:numCache>
                <c:formatCode>General</c:formatCode>
                <c:ptCount val="7"/>
                <c:pt idx="0">
                  <c:v>18.899999999999999</c:v>
                </c:pt>
                <c:pt idx="1">
                  <c:v>15.02</c:v>
                </c:pt>
                <c:pt idx="2">
                  <c:v>13.63</c:v>
                </c:pt>
                <c:pt idx="3">
                  <c:v>12.360000000000024</c:v>
                </c:pt>
                <c:pt idx="4">
                  <c:v>11.44</c:v>
                </c:pt>
                <c:pt idx="5">
                  <c:v>10.65</c:v>
                </c:pt>
                <c:pt idx="6">
                  <c:v>10.58</c:v>
                </c:pt>
              </c:numCache>
            </c:numRef>
          </c:val>
        </c:ser>
        <c:ser>
          <c:idx val="2"/>
          <c:order val="2"/>
          <c:tx>
            <c:v>MMT</c:v>
          </c:tx>
          <c:spPr>
            <a:solidFill>
              <a:schemeClr val="accent3"/>
            </a:solidFill>
            <a:ln>
              <a:noFill/>
            </a:ln>
            <a:effectLst/>
          </c:spPr>
          <c:invertIfNegative val="0"/>
          <c:cat>
            <c:numRef>
              <c:f>Sheet4!$E$5:$E$11</c:f>
              <c:numCache>
                <c:formatCode>General</c:formatCode>
                <c:ptCount val="7"/>
                <c:pt idx="0">
                  <c:v>1</c:v>
                </c:pt>
                <c:pt idx="1">
                  <c:v>0.9</c:v>
                </c:pt>
                <c:pt idx="2">
                  <c:v>0.8</c:v>
                </c:pt>
                <c:pt idx="3">
                  <c:v>0.70000000000000062</c:v>
                </c:pt>
                <c:pt idx="4">
                  <c:v>0.60000000000000064</c:v>
                </c:pt>
                <c:pt idx="5">
                  <c:v>0.5</c:v>
                </c:pt>
                <c:pt idx="6">
                  <c:v>0.4</c:v>
                </c:pt>
              </c:numCache>
            </c:numRef>
          </c:cat>
          <c:val>
            <c:numRef>
              <c:f>Sheet4!$H$5:$H$11</c:f>
              <c:numCache>
                <c:formatCode>General</c:formatCode>
                <c:ptCount val="7"/>
                <c:pt idx="0">
                  <c:v>19.16</c:v>
                </c:pt>
                <c:pt idx="1">
                  <c:v>15.27</c:v>
                </c:pt>
                <c:pt idx="2">
                  <c:v>13.63</c:v>
                </c:pt>
                <c:pt idx="3">
                  <c:v>12.63</c:v>
                </c:pt>
                <c:pt idx="4">
                  <c:v>11.64</c:v>
                </c:pt>
                <c:pt idx="5">
                  <c:v>10.49</c:v>
                </c:pt>
                <c:pt idx="6">
                  <c:v>10.350000000000026</c:v>
                </c:pt>
              </c:numCache>
            </c:numRef>
          </c:val>
        </c:ser>
        <c:ser>
          <c:idx val="3"/>
          <c:order val="3"/>
          <c:tx>
            <c:v>proposed Work</c:v>
          </c:tx>
          <c:spPr>
            <a:solidFill>
              <a:schemeClr val="accent4"/>
            </a:solidFill>
            <a:ln>
              <a:noFill/>
            </a:ln>
            <a:effectLst/>
          </c:spPr>
          <c:invertIfNegative val="0"/>
          <c:cat>
            <c:numRef>
              <c:f>Sheet4!$E$5:$E$11</c:f>
              <c:numCache>
                <c:formatCode>General</c:formatCode>
                <c:ptCount val="7"/>
                <c:pt idx="0">
                  <c:v>1</c:v>
                </c:pt>
                <c:pt idx="1">
                  <c:v>0.9</c:v>
                </c:pt>
                <c:pt idx="2">
                  <c:v>0.8</c:v>
                </c:pt>
                <c:pt idx="3">
                  <c:v>0.70000000000000062</c:v>
                </c:pt>
                <c:pt idx="4">
                  <c:v>0.60000000000000064</c:v>
                </c:pt>
                <c:pt idx="5">
                  <c:v>0.5</c:v>
                </c:pt>
                <c:pt idx="6">
                  <c:v>0.4</c:v>
                </c:pt>
              </c:numCache>
            </c:numRef>
          </c:cat>
          <c:val>
            <c:numRef>
              <c:f>Sheet4!$I$5:$I$11</c:f>
              <c:numCache>
                <c:formatCode>General</c:formatCode>
                <c:ptCount val="7"/>
                <c:pt idx="0">
                  <c:v>32.67</c:v>
                </c:pt>
                <c:pt idx="1">
                  <c:v>15.450000000000006</c:v>
                </c:pt>
                <c:pt idx="2">
                  <c:v>11.49</c:v>
                </c:pt>
                <c:pt idx="3">
                  <c:v>10.34</c:v>
                </c:pt>
                <c:pt idx="4">
                  <c:v>9.69</c:v>
                </c:pt>
                <c:pt idx="5">
                  <c:v>12.41</c:v>
                </c:pt>
                <c:pt idx="6">
                  <c:v>11.89</c:v>
                </c:pt>
              </c:numCache>
            </c:numRef>
          </c:val>
        </c:ser>
        <c:dLbls>
          <c:showLegendKey val="0"/>
          <c:showVal val="0"/>
          <c:showCatName val="0"/>
          <c:showSerName val="0"/>
          <c:showPercent val="0"/>
          <c:showBubbleSize val="0"/>
        </c:dLbls>
        <c:gapWidth val="150"/>
        <c:axId val="243636136"/>
        <c:axId val="243636528"/>
      </c:barChart>
      <c:catAx>
        <c:axId val="2436361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Upper Utilization</a:t>
                </a:r>
              </a:p>
            </c:rich>
          </c:tx>
          <c:layout>
            <c:manualLayout>
              <c:xMode val="edge"/>
              <c:yMode val="edge"/>
              <c:x val="0.26015444033252211"/>
              <c:y val="0.88650322025195161"/>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3636528"/>
        <c:crosses val="autoZero"/>
        <c:auto val="1"/>
        <c:lblAlgn val="ctr"/>
        <c:lblOffset val="100"/>
        <c:noMultiLvlLbl val="0"/>
      </c:catAx>
      <c:valAx>
        <c:axId val="2436365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IN"/>
                  <a:t>SLA VIolations</a:t>
                </a:r>
              </a:p>
            </c:rich>
          </c:tx>
          <c:layout>
            <c:manualLayout>
              <c:xMode val="edge"/>
              <c:yMode val="edge"/>
              <c:x val="1.3797104581453131E-2"/>
              <c:y val="0.1359724267894282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363613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0.75321</cdr:x>
      <cdr:y>0.55743</cdr:y>
    </cdr:from>
    <cdr:to>
      <cdr:x>0.97318</cdr:x>
      <cdr:y>0.69257</cdr:y>
    </cdr:to>
    <cdr:sp macro="" textlink="">
      <cdr:nvSpPr>
        <cdr:cNvPr id="2" name="TextBox 1"/>
        <cdr:cNvSpPr txBox="1"/>
      </cdr:nvSpPr>
      <cdr:spPr>
        <a:xfrm xmlns:a="http://schemas.openxmlformats.org/drawingml/2006/main">
          <a:off x="2422226" y="1423359"/>
          <a:ext cx="707366" cy="3450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0.74785</cdr:x>
      <cdr:y>0.59122</cdr:y>
    </cdr:from>
    <cdr:to>
      <cdr:x>0.98659</cdr:x>
      <cdr:y>0.71284</cdr:y>
    </cdr:to>
    <cdr:sp macro="" textlink="">
      <cdr:nvSpPr>
        <cdr:cNvPr id="3" name="TextBox 2"/>
        <cdr:cNvSpPr txBox="1"/>
      </cdr:nvSpPr>
      <cdr:spPr>
        <a:xfrm xmlns:a="http://schemas.openxmlformats.org/drawingml/2006/main">
          <a:off x="2404972" y="1509623"/>
          <a:ext cx="767751" cy="3105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2006">
  <b:Source>
    <b:Tag>Int09</b:Tag>
    <b:SourceType>Report</b:SourceType>
    <b:Guid>{774E1814-BAD6-4BAF-9244-AEAE83CAA869}</b:Guid>
    <b:Title>Energy Efficiency in Building</b:Title>
    <b:Year>2009</b:Year>
    <b:City>Lowerence Berkeley</b:City>
    <b:Publisher>National Laboratory</b:Publisher>
    <b:Author>
      <b:Author>
        <b:NameList>
          <b:Person>
            <b:Last>Group</b:Last>
            <b:First>International</b:First>
            <b:Middle>Resources</b:Middle>
          </b:Person>
        </b:NameList>
      </b:Author>
    </b:Author>
    <b:RefOrder>1</b:RefOrder>
  </b:Source>
  <b:Source>
    <b:Tag>WJa11</b:Tag>
    <b:SourceType>Report</b:SourceType>
    <b:Guid>{B189766B-E06B-42E4-B09B-EA6A837494C9}</b:Guid>
    <b:Author>
      <b:Author>
        <b:NameList>
          <b:Person>
            <b:Last>T.Grance</b:Last>
            <b:First>W.Jansen</b:First>
            <b:Middle>and</b:Middle>
          </b:Person>
        </b:NameList>
      </b:Author>
    </b:Author>
    <b:Title>Guidelines on Security an Privacy in Public Cloud Computing</b:Title>
    <b:Year>2011</b:Year>
    <b:Publisher>NIST special Publication</b:Publisher>
    <b:RefOrder>2</b:RefOrder>
  </b:Source>
</b:Sources>
</file>

<file path=customXml/itemProps1.xml><?xml version="1.0" encoding="utf-8"?>
<ds:datastoreItem xmlns:ds="http://schemas.openxmlformats.org/officeDocument/2006/customXml" ds:itemID="{F9414E14-61B3-4A84-A4F1-3FE023668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239</TotalTime>
  <Pages>4</Pages>
  <Words>2825</Words>
  <Characters>16109</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IEEE Conference Paper Template</vt:lpstr>
    </vt:vector>
  </TitlesOfParts>
  <Company>NTUME</Company>
  <LinksUpToDate>false</LinksUpToDate>
  <CharactersWithSpaces>18897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IEEE Conference Paper Template</dc:title>
  <dc:creator>Max</dc:creator>
  <cp:lastModifiedBy>cup</cp:lastModifiedBy>
  <cp:revision>22</cp:revision>
  <cp:lastPrinted>2004-02-05T05:56:00Z</cp:lastPrinted>
  <dcterms:created xsi:type="dcterms:W3CDTF">2014-09-08T11:45:00Z</dcterms:created>
  <dcterms:modified xsi:type="dcterms:W3CDTF">2014-09-09T05:00:00Z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249955454</vt:i4>
  </property>
  <property fmtid="{D5CDD505-2E9C-101B-9397-08002B2CF9AE}" pid="3" name="_EmailSubject">
    <vt:lpwstr>RE: Re: WCICA2004英文论文格式</vt:lpwstr>
  </property>
  <property fmtid="{D5CDD505-2E9C-101B-9397-08002B2CF9AE}" pid="4" name="_AuthorEmail">
    <vt:lpwstr>max@ee.cuhk.edu.hk</vt:lpwstr>
  </property>
  <property fmtid="{D5CDD505-2E9C-101B-9397-08002B2CF9AE}" pid="5" name="_AuthorEmailDisplayName">
    <vt:lpwstr>Max Meng</vt:lpwstr>
  </property>
  <property fmtid="{D5CDD505-2E9C-101B-9397-08002B2CF9AE}" pid="6" name="_ReviewingToolsShownOnce">
    <vt:lpwstr/>
  </property>
</Properties>
</file>